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spacing w:before="0" w:lineRule="auto"/>
        <w:ind w:left="0" w:right="626" w:firstLine="0"/>
        <w:jc w:val="right"/>
        <w:rPr>
          <w:sz w:val="24"/>
          <w:szCs w:val="24"/>
        </w:rPr>
      </w:pPr>
      <w:r w:rsidDel="00000000" w:rsidR="00000000" w:rsidRPr="00000000">
        <w:rPr>
          <w:sz w:val="24"/>
          <w:szCs w:val="24"/>
          <w:rtl w:val="0"/>
        </w:rPr>
        <w:t xml:space="preserve">Date: [</w:t>
      </w:r>
      <w:r w:rsidDel="00000000" w:rsidR="00000000" w:rsidRPr="00000000">
        <w:rPr>
          <w:i w:val="1"/>
          <w:sz w:val="24"/>
          <w:szCs w:val="24"/>
          <w:rtl w:val="0"/>
        </w:rPr>
        <w:t xml:space="preserve">20/09/2024</w:t>
      </w:r>
      <w:r w:rsidDel="00000000" w:rsidR="00000000" w:rsidRPr="00000000">
        <w:rPr>
          <w:sz w:val="24"/>
          <w:szCs w:val="24"/>
          <w:rtl w:val="0"/>
        </w:rPr>
        <w:t xml:space="preserve">]</w:t>
      </w:r>
    </w:p>
    <w:p w:rsidR="00000000" w:rsidDel="00000000" w:rsidP="00000000" w:rsidRDefault="00000000" w:rsidRPr="00000000" w14:paraId="00000003">
      <w:pPr>
        <w:pStyle w:val="Heading1"/>
        <w:ind w:left="3647" w:right="3325" w:firstLine="243.99999999999977"/>
        <w:rPr/>
      </w:pPr>
      <w:r w:rsidDel="00000000" w:rsidR="00000000" w:rsidRPr="00000000">
        <w:rPr>
          <w:rtl w:val="0"/>
        </w:rPr>
        <w:t xml:space="preserve">REQUEST FOR QUOTATION RFQ Nº UNFPA/TKM/RFQ</w:t>
      </w:r>
      <w:r w:rsidDel="00000000" w:rsidR="00000000" w:rsidRPr="00000000">
        <w:rPr>
          <w:rtl w:val="0"/>
        </w:rPr>
        <w:t xml:space="preserve">/2024/01</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Sir/Madam,</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UNFPA hereby solicits a quotation for the following items: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755.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1860"/>
        <w:gridCol w:w="5715"/>
        <w:gridCol w:w="1200"/>
        <w:gridCol w:w="1020"/>
        <w:tblGridChange w:id="0">
          <w:tblGrid>
            <w:gridCol w:w="960"/>
            <w:gridCol w:w="1860"/>
            <w:gridCol w:w="5715"/>
            <w:gridCol w:w="1200"/>
            <w:gridCol w:w="1020"/>
          </w:tblGrid>
        </w:tblGridChange>
      </w:tblGrid>
      <w:tr>
        <w:trPr>
          <w:cantSplit w:val="0"/>
          <w:trHeight w:val="827" w:hRule="atLeast"/>
          <w:tblHeader w:val="0"/>
        </w:trPr>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88"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Item #</w:t>
            </w:r>
          </w:p>
        </w:tc>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Product name</w:t>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Product description/Specification</w:t>
            </w:r>
          </w:p>
        </w:tc>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0"/>
              </w:tabs>
              <w:spacing w:after="0" w:before="1" w:line="240" w:lineRule="auto"/>
              <w:ind w:left="104" w:right="99"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Unit</w:t>
              <w:tab/>
              <w:t xml:space="preserve">of measure</w:t>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Quantity</w:t>
            </w:r>
          </w:p>
        </w:tc>
      </w:tr>
      <w:tr>
        <w:trPr>
          <w:cantSplit w:val="0"/>
          <w:trHeight w:val="9866" w:hRule="atLeast"/>
          <w:tblHeader w:val="0"/>
        </w:trPr>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Laptop </w:t>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Form Factor:</w:t>
            </w:r>
            <w:r w:rsidDel="00000000" w:rsidR="00000000" w:rsidRPr="00000000">
              <w:rPr>
                <w:rtl w:val="0"/>
              </w:rPr>
              <w:t xml:space="preserve"> Laptop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Processor</w:t>
            </w:r>
            <w:r w:rsidDel="00000000" w:rsidR="00000000" w:rsidRPr="00000000">
              <w:rPr>
                <w:rtl w:val="0"/>
              </w:rPr>
              <w:t xml:space="preserve">: 12th Gen Intel Mobile Core i7 or equivalent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pPr>
            <w:r w:rsidDel="00000000" w:rsidR="00000000" w:rsidRPr="00000000">
              <w:rPr>
                <w:rtl w:val="0"/>
              </w:rPr>
              <w:t xml:space="preserve">At least a Four-Core Processor with at least 2.6 GHz speed and at least 8MB cache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Memory:</w:t>
            </w:r>
            <w:r w:rsidDel="00000000" w:rsidR="00000000" w:rsidRPr="00000000">
              <w:rPr>
                <w:rtl w:val="0"/>
              </w:rPr>
              <w:t xml:space="preserve"> Min. 16 GB DDR4 or better</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Internal drive:</w:t>
            </w:r>
            <w:r w:rsidDel="00000000" w:rsidR="00000000" w:rsidRPr="00000000">
              <w:rPr>
                <w:rtl w:val="0"/>
              </w:rPr>
              <w:t xml:space="preserve"> At least 512GB Solid State Drive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Keyboard:</w:t>
            </w:r>
            <w:r w:rsidDel="00000000" w:rsidR="00000000" w:rsidRPr="00000000">
              <w:rPr>
                <w:rtl w:val="0"/>
              </w:rPr>
              <w:t xml:space="preserve"> Built-in English Keyboard</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pPr>
            <w:r w:rsidDel="00000000" w:rsidR="00000000" w:rsidRPr="00000000">
              <w:rPr>
                <w:rtl w:val="0"/>
              </w:rPr>
              <w:t xml:space="preserve">Touch Fingerprint Reader (preferable but not required)</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Display Panel:</w:t>
            </w:r>
            <w:r w:rsidDel="00000000" w:rsidR="00000000" w:rsidRPr="00000000">
              <w:rPr>
                <w:rtl w:val="0"/>
              </w:rPr>
              <w:t xml:space="preserve"> 13” or 14" FHD (1920 x 1080) Anti-Glare Integrated HD Graphics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Ports:</w:t>
            </w:r>
            <w:r w:rsidDel="00000000" w:rsidR="00000000" w:rsidRPr="00000000">
              <w:rPr>
                <w:rtl w:val="0"/>
              </w:rPr>
              <w:t xml:space="preserve"> At least 1 Thunderbolt/USB-C port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pPr>
            <w:r w:rsidDel="00000000" w:rsidR="00000000" w:rsidRPr="00000000">
              <w:rPr>
                <w:rtl w:val="0"/>
              </w:rPr>
              <w:t xml:space="preserve">At least 1 USB version 3.2 port (USB-A) 1 HDMI port</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pPr>
            <w:r w:rsidDel="00000000" w:rsidR="00000000" w:rsidRPr="00000000">
              <w:rPr>
                <w:rtl w:val="0"/>
              </w:rPr>
              <w:t xml:space="preserve">1 Memory Card Reader port Security lock Slot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Audio:</w:t>
            </w:r>
            <w:r w:rsidDel="00000000" w:rsidR="00000000" w:rsidRPr="00000000">
              <w:rPr>
                <w:rtl w:val="0"/>
              </w:rPr>
              <w:t xml:space="preserve"> 1 Audio combo port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pPr>
            <w:r w:rsidDel="00000000" w:rsidR="00000000" w:rsidRPr="00000000">
              <w:rPr>
                <w:rtl w:val="0"/>
              </w:rPr>
              <w:t xml:space="preserve">Speaker and Noise Canceling Digital Array Mic</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Ethernet:</w:t>
            </w:r>
            <w:r w:rsidDel="00000000" w:rsidR="00000000" w:rsidRPr="00000000">
              <w:rPr>
                <w:rtl w:val="0"/>
              </w:rPr>
              <w:t xml:space="preserve"> RJ-45 Jack or USB-to-Ethernet Dongle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Wireless:</w:t>
            </w:r>
            <w:r w:rsidDel="00000000" w:rsidR="00000000" w:rsidRPr="00000000">
              <w:rPr>
                <w:rtl w:val="0"/>
              </w:rPr>
              <w:t xml:space="preserve"> Dual-Band Wireless 802.11ax Bluetooth min 5.0</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Camera:</w:t>
            </w:r>
            <w:r w:rsidDel="00000000" w:rsidR="00000000" w:rsidRPr="00000000">
              <w:rPr>
                <w:rtl w:val="0"/>
              </w:rPr>
              <w:t xml:space="preserve"> Webcam (720p or higher)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Battery, Power:</w:t>
            </w:r>
            <w:r w:rsidDel="00000000" w:rsidR="00000000" w:rsidRPr="00000000">
              <w:rPr>
                <w:rtl w:val="0"/>
              </w:rPr>
              <w:t xml:space="preserve"> 65 W AC external adapter, Region Specific cord, 38WHr Express charge, Li-Ion;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pPr>
            <w:r w:rsidDel="00000000" w:rsidR="00000000" w:rsidRPr="00000000">
              <w:rPr>
                <w:rtl w:val="0"/>
              </w:rPr>
              <w:t xml:space="preserve">Min 3 cell Long-life battery</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Weight:</w:t>
            </w:r>
            <w:r w:rsidDel="00000000" w:rsidR="00000000" w:rsidRPr="00000000">
              <w:rPr>
                <w:rtl w:val="0"/>
              </w:rPr>
              <w:t xml:space="preserve"> Max. 3lbs/1.3 kg approx.</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Warranty:</w:t>
            </w:r>
            <w:r w:rsidDel="00000000" w:rsidR="00000000" w:rsidRPr="00000000">
              <w:rPr>
                <w:rtl w:val="0"/>
              </w:rPr>
              <w:t xml:space="preserve"> At least 3 years warranty, included:</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Accidental damage for Laptop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pPr>
            <w:r w:rsidDel="00000000" w:rsidR="00000000" w:rsidRPr="00000000">
              <w:rPr>
                <w:rtl w:val="0"/>
              </w:rPr>
              <w:t xml:space="preserve">               Next business day onsite service warranty</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Operating System:</w:t>
            </w:r>
            <w:r w:rsidDel="00000000" w:rsidR="00000000" w:rsidRPr="00000000">
              <w:rPr>
                <w:rtl w:val="0"/>
              </w:rPr>
              <w:t xml:space="preserve">  Preload Windows 11 Professional 64 bit or Windows 10 Professional 64bit with Windows 11 Professional Upgradable license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4" w:right="0" w:firstLine="0"/>
              <w:jc w:val="center"/>
              <w:rPr>
                <w:b w:val="1"/>
                <w:i w:val="0"/>
                <w:smallCaps w:val="0"/>
                <w:strike w:val="0"/>
                <w:color w:val="000000"/>
                <w:sz w:val="22"/>
                <w:szCs w:val="22"/>
                <w:u w:val="none"/>
                <w:shd w:fill="auto" w:val="clear"/>
                <w:vertAlign w:val="baseline"/>
              </w:rPr>
            </w:pPr>
            <w:r w:rsidDel="00000000" w:rsidR="00000000" w:rsidRPr="00000000">
              <w:rPr>
                <w:b w:val="1"/>
                <w:rtl w:val="0"/>
              </w:rPr>
              <w:t xml:space="preserve">Item</w:t>
            </w: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6</w:t>
            </w:r>
          </w:p>
        </w:tc>
      </w:tr>
      <w:tr>
        <w:trPr>
          <w:cantSplit w:val="0"/>
          <w:trHeight w:val="7770" w:hRule="atLeast"/>
          <w:tblHeader w:val="0"/>
        </w:trPr>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B">
            <w:pPr>
              <w:spacing w:line="233" w:lineRule="auto"/>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Printer (3-in-1)</w:t>
            </w: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b w:val="1"/>
                <w:rtl w:val="0"/>
              </w:rPr>
              <w:t xml:space="preserve">Form Factor:</w:t>
            </w:r>
            <w:r w:rsidDel="00000000" w:rsidR="00000000" w:rsidRPr="00000000">
              <w:rPr>
                <w:rtl w:val="0"/>
              </w:rPr>
              <w:t xml:space="preserve"> Printer 3-in-1</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b w:val="1"/>
                <w:rtl w:val="0"/>
              </w:rPr>
              <w:t xml:space="preserve">Print Type:</w:t>
            </w:r>
            <w:r w:rsidDel="00000000" w:rsidR="00000000" w:rsidRPr="00000000">
              <w:rPr>
                <w:rtl w:val="0"/>
              </w:rPr>
              <w:t xml:space="preserve"> Laser, black and white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b w:val="1"/>
                <w:rtl w:val="0"/>
              </w:rPr>
              <w:t xml:space="preserve">Standard functions:</w:t>
            </w:r>
            <w:r w:rsidDel="00000000" w:rsidR="00000000" w:rsidRPr="00000000">
              <w:rPr>
                <w:rtl w:val="0"/>
              </w:rPr>
              <w:t xml:space="preserve"> Print, copy, scan, fax</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b w:val="1"/>
                <w:rtl w:val="0"/>
              </w:rPr>
              <w:t xml:space="preserve">Monthly duty cycle:</w:t>
            </w:r>
            <w:r w:rsidDel="00000000" w:rsidR="00000000" w:rsidRPr="00000000">
              <w:rPr>
                <w:rtl w:val="0"/>
              </w:rPr>
              <w:t xml:space="preserve"> Up to 50 000 pages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b w:val="1"/>
                <w:rtl w:val="0"/>
              </w:rPr>
              <w:t xml:space="preserve">Paper Size</w:t>
            </w:r>
            <w:r w:rsidDel="00000000" w:rsidR="00000000" w:rsidRPr="00000000">
              <w:rPr>
                <w:rtl w:val="0"/>
              </w:rPr>
              <w:t xml:space="preserve">: A4</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b w:val="1"/>
                <w:rtl w:val="0"/>
              </w:rPr>
              <w:t xml:space="preserve">Print Speed:</w:t>
            </w:r>
            <w:r w:rsidDel="00000000" w:rsidR="00000000" w:rsidRPr="00000000">
              <w:rPr>
                <w:rtl w:val="0"/>
              </w:rPr>
              <w:t xml:space="preserve"> up to 30 ppm</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b w:val="1"/>
                <w:rtl w:val="0"/>
              </w:rPr>
              <w:t xml:space="preserve">Copy Speed</w:t>
            </w:r>
            <w:r w:rsidDel="00000000" w:rsidR="00000000" w:rsidRPr="00000000">
              <w:rPr>
                <w:rtl w:val="0"/>
              </w:rPr>
              <w:t xml:space="preserve">: up to 30 ppm</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b w:val="1"/>
                <w:rtl w:val="0"/>
              </w:rPr>
              <w:t xml:space="preserve">Scan speed:</w:t>
            </w:r>
            <w:r w:rsidDel="00000000" w:rsidR="00000000" w:rsidRPr="00000000">
              <w:rPr>
                <w:rtl w:val="0"/>
              </w:rPr>
              <w:t xml:space="preserve"> up to 30 ppm</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b w:val="1"/>
                <w:rtl w:val="0"/>
              </w:rPr>
              <w:t xml:space="preserve">Print Resolution:</w:t>
            </w:r>
            <w:r w:rsidDel="00000000" w:rsidR="00000000" w:rsidRPr="00000000">
              <w:rPr>
                <w:rtl w:val="0"/>
              </w:rPr>
              <w:t xml:space="preserve"> Up to 1200 x 1200 dpi</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b w:val="1"/>
                <w:rtl w:val="0"/>
              </w:rPr>
              <w:t xml:space="preserve">Connectivity:</w:t>
            </w:r>
            <w:r w:rsidDel="00000000" w:rsidR="00000000" w:rsidRPr="00000000">
              <w:rPr>
                <w:rtl w:val="0"/>
              </w:rPr>
              <w:t xml:space="preserve"> 1 USB, 1 Ethernet</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b w:val="1"/>
                <w:rtl w:val="0"/>
              </w:rPr>
              <w:t xml:space="preserve">Output Capacity:</w:t>
            </w:r>
            <w:r w:rsidDel="00000000" w:rsidR="00000000" w:rsidRPr="00000000">
              <w:rPr>
                <w:rtl w:val="0"/>
              </w:rPr>
              <w:t xml:space="preserve"> 150 sheets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b w:val="1"/>
                <w:rtl w:val="0"/>
              </w:rPr>
              <w:t xml:space="preserve">Standard paper capacity:</w:t>
            </w:r>
            <w:r w:rsidDel="00000000" w:rsidR="00000000" w:rsidRPr="00000000">
              <w:rPr>
                <w:rtl w:val="0"/>
              </w:rPr>
              <w:t xml:space="preserve"> 250 sheets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b w:val="1"/>
                <w:rtl w:val="0"/>
              </w:rPr>
              <w:t xml:space="preserve">Features: </w:t>
            </w:r>
            <w:r w:rsidDel="00000000" w:rsidR="00000000" w:rsidRPr="00000000">
              <w:rPr>
                <w:rtl w:val="0"/>
              </w:rPr>
              <w:t xml:space="preserve">DADF, Duplex</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b w:val="1"/>
                <w:rtl w:val="0"/>
              </w:rPr>
              <w:t xml:space="preserve">Spare cartridges:</w:t>
            </w:r>
            <w:r w:rsidDel="00000000" w:rsidR="00000000" w:rsidRPr="00000000">
              <w:rPr>
                <w:rtl w:val="0"/>
              </w:rPr>
              <w:t xml:space="preserve"> 1pcs (Spare </w:t>
            </w:r>
            <w:r w:rsidDel="00000000" w:rsidR="00000000" w:rsidRPr="00000000">
              <w:rPr>
                <w:b w:val="1"/>
                <w:rtl w:val="0"/>
              </w:rPr>
              <w:t xml:space="preserve">cartridge</w:t>
            </w:r>
            <w:r w:rsidDel="00000000" w:rsidR="00000000" w:rsidRPr="00000000">
              <w:rPr>
                <w:rtl w:val="0"/>
              </w:rPr>
              <w:t xml:space="preserve"> should be included)</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0" w:right="0" w:firstLine="0"/>
              <w:jc w:val="left"/>
              <w:rPr/>
            </w:pPr>
            <w:r w:rsidDel="00000000" w:rsidR="00000000" w:rsidRPr="00000000">
              <w:rPr>
                <w:b w:val="1"/>
                <w:rtl w:val="0"/>
              </w:rPr>
              <w:t xml:space="preserve">Warranty:</w:t>
            </w:r>
            <w:r w:rsidDel="00000000" w:rsidR="00000000" w:rsidRPr="00000000">
              <w:rPr>
                <w:rtl w:val="0"/>
              </w:rPr>
              <w:t xml:space="preserve"> 3 years </w:t>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4" w:right="0" w:firstLine="0"/>
              <w:jc w:val="center"/>
              <w:rPr>
                <w:b w:val="1"/>
              </w:rPr>
            </w:pPr>
            <w:r w:rsidDel="00000000" w:rsidR="00000000" w:rsidRPr="00000000">
              <w:rPr>
                <w:b w:val="1"/>
                <w:rtl w:val="0"/>
              </w:rPr>
              <w:t xml:space="preserve">Item</w:t>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center"/>
              <w:rPr>
                <w:b w:val="1"/>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b w:val="1"/>
                <w:rtl w:val="0"/>
              </w:rPr>
              <w:t xml:space="preserve">6</w:t>
            </w:r>
            <w:r w:rsidDel="00000000" w:rsidR="00000000" w:rsidRPr="00000000">
              <w:rPr>
                <w:rtl w:val="0"/>
              </w:rPr>
            </w:r>
          </w:p>
        </w:tc>
      </w:tr>
    </w:tbl>
    <w:p w:rsidR="00000000" w:rsidDel="00000000" w:rsidP="00000000" w:rsidRDefault="00000000" w:rsidRPr="00000000" w14:paraId="0000005C">
      <w:pPr>
        <w:spacing w:after="0" w:lineRule="auto"/>
        <w:ind w:firstLine="0"/>
        <w:rPr>
          <w:sz w:val="2"/>
          <w:szCs w:val="2"/>
        </w:rPr>
        <w:sectPr>
          <w:headerReference r:id="rId7" w:type="default"/>
          <w:footerReference r:id="rId8" w:type="default"/>
          <w:pgSz w:h="16840" w:w="11910" w:orient="portrait"/>
          <w:pgMar w:bottom="1100" w:top="2000" w:left="720" w:right="220" w:header="938" w:footer="902"/>
          <w:pgNumType w:start="1"/>
        </w:sect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pStyle w:val="Heading1"/>
        <w:numPr>
          <w:ilvl w:val="0"/>
          <w:numId w:val="1"/>
        </w:numPr>
        <w:tabs>
          <w:tab w:val="left" w:leader="none" w:pos="1079"/>
        </w:tabs>
        <w:spacing w:after="0" w:before="274" w:line="240" w:lineRule="auto"/>
        <w:ind w:left="1079" w:right="0" w:hanging="513"/>
        <w:jc w:val="left"/>
        <w:rPr/>
      </w:pPr>
      <w:r w:rsidDel="00000000" w:rsidR="00000000" w:rsidRPr="00000000">
        <w:rPr>
          <w:rtl w:val="0"/>
        </w:rPr>
        <w:t xml:space="preserve">About UNFPA</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2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UNFPA, the United Nations Population Fund (UNFPA), is an international development agency that works to deliver a world where every pregnancy is wanted, every child birth is safe and every young person’s potential is fulfilled.</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20" w:right="6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UNFPA is the lead UN agency that expands the possibilities for women and young people to lead healthy sexual and reproductive lives. To read more about UNFPA, please go to: </w:t>
      </w:r>
      <w:hyperlink r:id="rId9">
        <w:r w:rsidDel="00000000" w:rsidR="00000000" w:rsidRPr="00000000">
          <w:rPr>
            <w:rFonts w:ascii="Times New Roman" w:cs="Times New Roman" w:eastAsia="Times New Roman" w:hAnsi="Times New Roman"/>
            <w:b w:val="0"/>
            <w:i w:val="0"/>
            <w:smallCaps w:val="0"/>
            <w:strike w:val="0"/>
            <w:color w:val="0070c0"/>
            <w:sz w:val="24"/>
            <w:szCs w:val="24"/>
            <w:u w:val="single"/>
            <w:shd w:fill="auto" w:val="clear"/>
            <w:vertAlign w:val="baseline"/>
            <w:rtl w:val="0"/>
          </w:rPr>
          <w:t xml:space="preserve">UNFPA about us</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pStyle w:val="Heading1"/>
        <w:numPr>
          <w:ilvl w:val="0"/>
          <w:numId w:val="1"/>
        </w:numPr>
        <w:tabs>
          <w:tab w:val="left" w:leader="none" w:pos="1079"/>
        </w:tabs>
        <w:spacing w:after="0" w:before="0" w:line="240" w:lineRule="auto"/>
        <w:ind w:left="1079" w:right="0" w:hanging="607"/>
        <w:jc w:val="left"/>
        <w:rPr/>
      </w:pPr>
      <w:r w:rsidDel="00000000" w:rsidR="00000000" w:rsidRPr="00000000">
        <w:rPr>
          <w:rtl w:val="0"/>
        </w:rPr>
        <w:t xml:space="preserve">Questions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 w:right="3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Questions or requests for further clarifications should be submitted in writing to the contact person below:</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091.0" w:type="dxa"/>
        <w:jc w:val="left"/>
        <w:tblInd w:w="986.0" w:type="dxa"/>
        <w:tblBorders>
          <w:top w:color="dadada" w:space="0" w:sz="4" w:val="single"/>
          <w:left w:color="dadada" w:space="0" w:sz="4" w:val="single"/>
          <w:bottom w:color="dadada" w:space="0" w:sz="4" w:val="single"/>
          <w:right w:color="dadada" w:space="0" w:sz="4" w:val="single"/>
          <w:insideH w:color="dadada" w:space="0" w:sz="4" w:val="single"/>
          <w:insideV w:color="dadada" w:space="0" w:sz="4" w:val="single"/>
        </w:tblBorders>
        <w:tblLayout w:type="fixed"/>
        <w:tblLook w:val="0000"/>
      </w:tblPr>
      <w:tblGrid>
        <w:gridCol w:w="3511"/>
        <w:gridCol w:w="5580"/>
        <w:tblGridChange w:id="0">
          <w:tblGrid>
            <w:gridCol w:w="3511"/>
            <w:gridCol w:w="5580"/>
          </w:tblGrid>
        </w:tblGridChange>
      </w:tblGrid>
      <w:tr>
        <w:trPr>
          <w:cantSplit w:val="0"/>
          <w:trHeight w:val="553" w:hRule="atLeast"/>
          <w:tblHeader w:val="0"/>
        </w:trPr>
        <w:tc>
          <w:tcPr>
            <w:tcBorders>
              <w:bottom w:color="dadada" w:space="0" w:sz="6" w:val="single"/>
              <w:right w:color="dadada" w:space="0" w:sz="6" w:val="single"/>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3"/>
                <w:tab w:val="left" w:leader="none" w:pos="1386"/>
                <w:tab w:val="left" w:leader="none" w:pos="2334"/>
                <w:tab w:val="left" w:leader="none" w:pos="3227"/>
              </w:tabs>
              <w:spacing w:after="0" w:before="0" w:line="240" w:lineRule="auto"/>
              <w:ind w:left="107" w:right="9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w:t>
              <w:tab/>
              <w:t xml:space="preserve">of</w:t>
              <w:tab/>
              <w:t xml:space="preserve">contact</w:t>
              <w:tab/>
              <w:t xml:space="preserve">person</w:t>
              <w:tab/>
              <w:t xml:space="preserve">at UNFPA:</w:t>
            </w:r>
          </w:p>
        </w:tc>
        <w:tc>
          <w:tcPr>
            <w:tcBorders>
              <w:left w:color="dadada" w:space="0" w:sz="6" w:val="single"/>
              <w:bottom w:color="dadada" w:space="0" w:sz="6"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0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Rita Gaipova</w:t>
            </w:r>
            <w:r w:rsidDel="00000000" w:rsidR="00000000" w:rsidRPr="00000000">
              <w:rPr>
                <w:rtl w:val="0"/>
              </w:rPr>
            </w:r>
          </w:p>
        </w:tc>
      </w:tr>
      <w:tr>
        <w:trPr>
          <w:cantSplit w:val="0"/>
          <w:trHeight w:val="275" w:hRule="atLeast"/>
          <w:tblHeader w:val="0"/>
        </w:trPr>
        <w:tc>
          <w:tcPr>
            <w:tcBorders>
              <w:top w:color="dadada" w:space="0" w:sz="6" w:val="single"/>
              <w:bottom w:color="dadada" w:space="0" w:sz="6" w:val="single"/>
              <w:right w:color="dadada" w:space="0" w:sz="6" w:val="single"/>
            </w:tcBorders>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 Nº:</w:t>
            </w:r>
          </w:p>
        </w:tc>
        <w:tc>
          <w:tcPr>
            <w:tcBorders>
              <w:top w:color="dadada" w:space="0" w:sz="6" w:val="single"/>
              <w:left w:color="dadada" w:space="0" w:sz="6" w:val="single"/>
              <w:bottom w:color="dadada" w:space="0" w:sz="6"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0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+99312 488326 (ext. </w:t>
            </w:r>
            <w:r w:rsidDel="00000000" w:rsidR="00000000" w:rsidRPr="00000000">
              <w:rPr>
                <w:i w:val="1"/>
                <w:sz w:val="24"/>
                <w:szCs w:val="24"/>
                <w:rtl w:val="0"/>
              </w:rPr>
              <w:t xml:space="preserve">332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tc>
      </w:tr>
      <w:tr>
        <w:trPr>
          <w:cantSplit w:val="0"/>
          <w:trHeight w:val="275" w:hRule="atLeast"/>
          <w:tblHeader w:val="0"/>
        </w:trPr>
        <w:tc>
          <w:tcPr>
            <w:tcBorders>
              <w:top w:color="dadada" w:space="0" w:sz="6" w:val="single"/>
              <w:bottom w:color="dadada" w:space="0" w:sz="6" w:val="single"/>
              <w:right w:color="dadada" w:space="0" w:sz="6" w:val="single"/>
            </w:tcBorders>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Fax Nº:</w:t>
            </w:r>
          </w:p>
        </w:tc>
        <w:tc>
          <w:tcPr>
            <w:tcBorders>
              <w:top w:color="dadada" w:space="0" w:sz="6" w:val="single"/>
              <w:left w:color="dadada" w:space="0" w:sz="6" w:val="single"/>
              <w:bottom w:color="dadada" w:space="0" w:sz="6" w:val="single"/>
            </w:tcBorders>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0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+99312 488368</w:t>
            </w:r>
          </w:p>
        </w:tc>
      </w:tr>
      <w:tr>
        <w:trPr>
          <w:cantSplit w:val="0"/>
          <w:trHeight w:val="275" w:hRule="atLeast"/>
          <w:tblHeader w:val="0"/>
        </w:trPr>
        <w:tc>
          <w:tcPr>
            <w:tcBorders>
              <w:top w:color="dadada" w:space="0" w:sz="6" w:val="single"/>
              <w:right w:color="dadada" w:space="0" w:sz="6"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address of contact person:</w:t>
            </w:r>
          </w:p>
        </w:tc>
        <w:tc>
          <w:tcPr>
            <w:tcBorders>
              <w:top w:color="dadada" w:space="0" w:sz="6" w:val="single"/>
              <w:left w:color="dadada" w:space="0" w:sz="6" w:val="single"/>
            </w:tcBorders>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0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0"/>
                  <w:i w:val="1"/>
                  <w:smallCaps w:val="0"/>
                  <w:strike w:val="0"/>
                  <w:color w:val="003366"/>
                  <w:sz w:val="24"/>
                  <w:szCs w:val="24"/>
                  <w:u w:val="single"/>
                  <w:shd w:fill="auto" w:val="clear"/>
                  <w:vertAlign w:val="baseline"/>
                  <w:rtl w:val="0"/>
                </w:rPr>
                <w:t xml:space="preserve">gaipova@unfpa.org</w:t>
              </w:r>
            </w:hyperlink>
            <w:r w:rsidDel="00000000" w:rsidR="00000000" w:rsidRPr="00000000">
              <w:rPr>
                <w:rtl w:val="0"/>
              </w:rPr>
            </w:r>
          </w:p>
        </w:tc>
      </w:tr>
    </w:tbl>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19" w:right="3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deadline for submission of questions is </w:t>
      </w:r>
      <w:r w:rsidDel="00000000" w:rsidR="00000000" w:rsidRPr="00000000">
        <w:rPr>
          <w:b w:val="1"/>
          <w:sz w:val="24"/>
          <w:szCs w:val="24"/>
          <w:rtl w:val="0"/>
        </w:rPr>
        <w:t xml:space="preserve">25 September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202</w:t>
      </w:r>
      <w:r w:rsidDel="00000000" w:rsidR="00000000" w:rsidRPr="00000000">
        <w:rPr>
          <w:b w:val="1"/>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Questions will be answered in writing and shared with all parties as soon as possible after this deadline.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79"/>
        </w:tabs>
        <w:spacing w:after="0" w:before="0" w:line="240" w:lineRule="auto"/>
        <w:ind w:left="1079" w:right="0" w:hanging="7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Eligible Bidders</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Request for Quotation is open to all eligible bidders; to be considered an eligible bidder for this solicitation process you must comply with the following:</w:t>
      </w:r>
    </w:p>
    <w:p w:rsidR="00000000" w:rsidDel="00000000" w:rsidP="00000000" w:rsidRDefault="00000000" w:rsidRPr="00000000" w14:paraId="0000007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62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bidder must be a legally-constituted company that can provide the requested products and have legal capacity to enter into a contract with UNFPA to deliver in the country, or through an authorized representative.</w:t>
      </w:r>
    </w:p>
    <w:p w:rsidR="00000000" w:rsidDel="00000000" w:rsidP="00000000" w:rsidRDefault="00000000" w:rsidRPr="00000000" w14:paraId="0000007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62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bidder must not have a conflict of interest regarding the solicitation process or with the TORs / Technical Specifications. Bidders found to have a conflict of interest shall be disqualified.</w:t>
      </w:r>
    </w:p>
    <w:p w:rsidR="00000000" w:rsidDel="00000000" w:rsidP="00000000" w:rsidRDefault="00000000" w:rsidRPr="00000000" w14:paraId="0000007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62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time of Bid submission, the bidder, including any JV/Consortium members, is not under procurement prohibitions derived from the </w:t>
      </w:r>
      <w:hyperlink r:id="rId11">
        <w:r w:rsidDel="00000000" w:rsidR="00000000" w:rsidRPr="00000000">
          <w:rPr>
            <w:rFonts w:ascii="Times New Roman" w:cs="Times New Roman" w:eastAsia="Times New Roman" w:hAnsi="Times New Roman"/>
            <w:b w:val="0"/>
            <w:i w:val="0"/>
            <w:smallCaps w:val="0"/>
            <w:strike w:val="0"/>
            <w:color w:val="003366"/>
            <w:sz w:val="24"/>
            <w:szCs w:val="24"/>
            <w:u w:val="none"/>
            <w:shd w:fill="auto" w:val="clear"/>
            <w:vertAlign w:val="baseline"/>
            <w:rtl w:val="0"/>
          </w:rPr>
          <w:t xml:space="preserve">Compendium of United Nations Security</w:t>
        </w:r>
      </w:hyperlink>
      <w:r w:rsidDel="00000000" w:rsidR="00000000" w:rsidRPr="00000000">
        <w:rPr>
          <w:rFonts w:ascii="Times New Roman" w:cs="Times New Roman" w:eastAsia="Times New Roman" w:hAnsi="Times New Roman"/>
          <w:b w:val="0"/>
          <w:i w:val="0"/>
          <w:smallCaps w:val="0"/>
          <w:strike w:val="0"/>
          <w:color w:val="003366"/>
          <w:sz w:val="24"/>
          <w:szCs w:val="24"/>
          <w:u w:val="none"/>
          <w:shd w:fill="auto" w:val="clear"/>
          <w:vertAlign w:val="baseline"/>
          <w:rtl w:val="0"/>
        </w:rPr>
        <w:t xml:space="preserve"> </w:t>
      </w:r>
      <w:hyperlink r:id="rId12">
        <w:r w:rsidDel="00000000" w:rsidR="00000000" w:rsidRPr="00000000">
          <w:rPr>
            <w:rFonts w:ascii="Times New Roman" w:cs="Times New Roman" w:eastAsia="Times New Roman" w:hAnsi="Times New Roman"/>
            <w:b w:val="0"/>
            <w:i w:val="0"/>
            <w:smallCaps w:val="0"/>
            <w:strike w:val="0"/>
            <w:color w:val="003366"/>
            <w:sz w:val="24"/>
            <w:szCs w:val="24"/>
            <w:u w:val="none"/>
            <w:shd w:fill="auto" w:val="clear"/>
            <w:vertAlign w:val="baseline"/>
            <w:rtl w:val="0"/>
          </w:rPr>
          <w:t xml:space="preserve">Council Sanctions Lists</w:t>
        </w:r>
      </w:hyperlink>
      <w:r w:rsidDel="00000000" w:rsidR="00000000" w:rsidRPr="00000000">
        <w:rPr>
          <w:rFonts w:ascii="Times New Roman" w:cs="Times New Roman" w:eastAsia="Times New Roman" w:hAnsi="Times New Roman"/>
          <w:b w:val="0"/>
          <w:i w:val="0"/>
          <w:smallCaps w:val="0"/>
          <w:strike w:val="0"/>
          <w:color w:val="00336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has not been suspended, debarred, sanctioned or otherwise identified as ineligible by any </w:t>
      </w:r>
      <w:hyperlink r:id="rId13">
        <w:r w:rsidDel="00000000" w:rsidR="00000000" w:rsidRPr="00000000">
          <w:rPr>
            <w:rFonts w:ascii="Times New Roman" w:cs="Times New Roman" w:eastAsia="Times New Roman" w:hAnsi="Times New Roman"/>
            <w:b w:val="0"/>
            <w:i w:val="0"/>
            <w:smallCaps w:val="0"/>
            <w:strike w:val="0"/>
            <w:color w:val="003366"/>
            <w:sz w:val="24"/>
            <w:szCs w:val="24"/>
            <w:u w:val="none"/>
            <w:shd w:fill="auto" w:val="clear"/>
            <w:vertAlign w:val="baseline"/>
            <w:rtl w:val="0"/>
          </w:rPr>
          <w:t xml:space="preserve">UN Organization</w:t>
        </w:r>
      </w:hyperlink>
      <w:r w:rsidDel="00000000" w:rsidR="00000000" w:rsidRPr="00000000">
        <w:rPr>
          <w:rFonts w:ascii="Times New Roman" w:cs="Times New Roman" w:eastAsia="Times New Roman" w:hAnsi="Times New Roman"/>
          <w:b w:val="0"/>
          <w:i w:val="0"/>
          <w:smallCaps w:val="0"/>
          <w:strike w:val="0"/>
          <w:color w:val="00336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the </w:t>
      </w:r>
      <w:hyperlink r:id="rId14">
        <w:r w:rsidDel="00000000" w:rsidR="00000000" w:rsidRPr="00000000">
          <w:rPr>
            <w:rFonts w:ascii="Times New Roman" w:cs="Times New Roman" w:eastAsia="Times New Roman" w:hAnsi="Times New Roman"/>
            <w:b w:val="0"/>
            <w:i w:val="0"/>
            <w:smallCaps w:val="0"/>
            <w:strike w:val="0"/>
            <w:color w:val="003366"/>
            <w:sz w:val="24"/>
            <w:szCs w:val="24"/>
            <w:u w:val="none"/>
            <w:shd w:fill="auto" w:val="clear"/>
            <w:vertAlign w:val="baseline"/>
            <w:rtl w:val="0"/>
          </w:rPr>
          <w:t xml:space="preserve">World Bank Group</w:t>
        </w:r>
      </w:hyperlink>
      <w:hyperlink r:id="rId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62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Bidders must adhere to the UN Supplier Code of Conduct, which may be found by clicking on </w:t>
      </w:r>
      <w:hyperlink r:id="rId16">
        <w:r w:rsidDel="00000000" w:rsidR="00000000" w:rsidRPr="00000000">
          <w:rPr>
            <w:rFonts w:ascii="Times New Roman" w:cs="Times New Roman" w:eastAsia="Times New Roman" w:hAnsi="Times New Roman"/>
            <w:b w:val="0"/>
            <w:i w:val="0"/>
            <w:smallCaps w:val="0"/>
            <w:strike w:val="0"/>
            <w:color w:val="003366"/>
            <w:sz w:val="24"/>
            <w:szCs w:val="24"/>
            <w:u w:val="none"/>
            <w:shd w:fill="auto" w:val="clear"/>
            <w:vertAlign w:val="baseline"/>
            <w:rtl w:val="0"/>
          </w:rPr>
          <w:t xml:space="preserve">UN Supplier Code of Conduct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pStyle w:val="Heading1"/>
        <w:numPr>
          <w:ilvl w:val="0"/>
          <w:numId w:val="1"/>
        </w:numPr>
        <w:tabs>
          <w:tab w:val="left" w:leader="none" w:pos="1077"/>
        </w:tabs>
        <w:spacing w:after="0" w:before="0" w:line="240" w:lineRule="auto"/>
        <w:ind w:left="1077" w:right="0" w:hanging="684"/>
        <w:jc w:val="both"/>
        <w:rPr/>
      </w:pPr>
      <w:r w:rsidDel="00000000" w:rsidR="00000000" w:rsidRPr="00000000">
        <w:rPr>
          <w:rtl w:val="0"/>
        </w:rPr>
        <w:t xml:space="preserve">Content of quotations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2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Quotations should be submitted in a single email or in an envelope whenever possible, depending on file size. Quotations must contain:</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62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Technical proposal, in response to the requirements outlined in the specifications should comply with:</w:t>
      </w:r>
    </w:p>
    <w:p w:rsidR="00000000" w:rsidDel="00000000" w:rsidP="00000000" w:rsidRDefault="00000000" w:rsidRPr="00000000" w14:paraId="0000007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799"/>
        </w:tabs>
        <w:spacing w:after="0" w:before="0" w:line="293.00000000000006" w:lineRule="auto"/>
        <w:ind w:left="1799"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Partial bids are allowed.</w:t>
      </w:r>
    </w:p>
    <w:p w:rsidR="00000000" w:rsidDel="00000000" w:rsidP="00000000" w:rsidRDefault="00000000" w:rsidRPr="00000000" w14:paraId="0000007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8" w:right="0" w:hanging="2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Price quotation, to be submitted strictly in accordance with Price Quotation Form.</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2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Both parts of the quotation must be signed by the company’s relevant authority and submitted in PDF format.</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pStyle w:val="Heading1"/>
        <w:numPr>
          <w:ilvl w:val="0"/>
          <w:numId w:val="1"/>
        </w:numPr>
        <w:tabs>
          <w:tab w:val="left" w:leader="none" w:pos="1078"/>
        </w:tabs>
        <w:spacing w:after="0" w:before="1" w:line="240" w:lineRule="auto"/>
        <w:ind w:left="1078" w:right="0" w:hanging="591"/>
        <w:jc w:val="both"/>
        <w:rPr/>
      </w:pPr>
      <w:r w:rsidDel="00000000" w:rsidR="00000000" w:rsidRPr="00000000">
        <w:rPr>
          <w:rtl w:val="0"/>
        </w:rPr>
        <w:t xml:space="preserve">Instructions for submission</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26"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Proposals should be prepared based on the guidelines set forth in Section IV above, along with a properly filled out and signed price quotation form, and are to be sent by email to the contact person indicated below no later than: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COB </w:t>
      </w:r>
      <w:r w:rsidDel="00000000" w:rsidR="00000000" w:rsidRPr="00000000">
        <w:rPr>
          <w:b w:val="1"/>
          <w:sz w:val="24"/>
          <w:szCs w:val="24"/>
          <w:rtl w:val="0"/>
        </w:rPr>
        <w:t xml:space="preserve">30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September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202</w:t>
      </w:r>
      <w:r w:rsidDel="00000000" w:rsidR="00000000" w:rsidRPr="00000000">
        <w:rPr>
          <w:b w:val="1"/>
          <w:sz w:val="24"/>
          <w:szCs w:val="24"/>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6"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3"/>
        <w:tblW w:w="8522.0" w:type="dxa"/>
        <w:jc w:val="left"/>
        <w:tblInd w:w="1272.0" w:type="dxa"/>
        <w:tblBorders>
          <w:top w:color="dadada" w:space="0" w:sz="4" w:val="single"/>
          <w:left w:color="dadada" w:space="0" w:sz="4" w:val="single"/>
          <w:bottom w:color="dadada" w:space="0" w:sz="4" w:val="single"/>
          <w:right w:color="dadada" w:space="0" w:sz="4" w:val="single"/>
          <w:insideH w:color="dadada" w:space="0" w:sz="4" w:val="single"/>
          <w:insideV w:color="dadada" w:space="0" w:sz="4" w:val="single"/>
        </w:tblBorders>
        <w:tblLayout w:type="fixed"/>
        <w:tblLook w:val="0000"/>
      </w:tblPr>
      <w:tblGrid>
        <w:gridCol w:w="3511"/>
        <w:gridCol w:w="5011"/>
        <w:tblGridChange w:id="0">
          <w:tblGrid>
            <w:gridCol w:w="3511"/>
            <w:gridCol w:w="5011"/>
          </w:tblGrid>
        </w:tblGridChange>
      </w:tblGrid>
      <w:tr>
        <w:trPr>
          <w:cantSplit w:val="0"/>
          <w:trHeight w:val="553" w:hRule="atLeast"/>
          <w:tblHeader w:val="0"/>
        </w:trPr>
        <w:tc>
          <w:tcPr>
            <w:tcBorders>
              <w:bottom w:color="dadada" w:space="0" w:sz="6" w:val="single"/>
              <w:right w:color="dadada" w:space="0" w:sz="6" w:val="single"/>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3"/>
                <w:tab w:val="left" w:leader="none" w:pos="1386"/>
                <w:tab w:val="left" w:leader="none" w:pos="2334"/>
                <w:tab w:val="left" w:leader="none" w:pos="3227"/>
              </w:tabs>
              <w:spacing w:after="0" w:before="0" w:line="240" w:lineRule="auto"/>
              <w:ind w:left="107" w:right="9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w:t>
              <w:tab/>
              <w:t xml:space="preserve">of</w:t>
              <w:tab/>
              <w:t xml:space="preserve">contact</w:t>
              <w:tab/>
              <w:t xml:space="preserve">person</w:t>
              <w:tab/>
              <w:t xml:space="preserve">at UNFPA:</w:t>
            </w:r>
          </w:p>
        </w:tc>
        <w:tc>
          <w:tcPr>
            <w:tcBorders>
              <w:left w:color="dadada" w:space="0" w:sz="6" w:val="single"/>
              <w:bottom w:color="dadada" w:space="0" w:sz="6" w:val="single"/>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0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UNFPA Turkmenistan</w:t>
            </w:r>
          </w:p>
        </w:tc>
      </w:tr>
      <w:tr>
        <w:trPr>
          <w:cantSplit w:val="0"/>
          <w:trHeight w:val="275" w:hRule="atLeast"/>
          <w:tblHeader w:val="0"/>
        </w:trPr>
        <w:tc>
          <w:tcPr>
            <w:tcBorders>
              <w:top w:color="dadada" w:space="0" w:sz="6" w:val="single"/>
              <w:right w:color="dadada" w:space="0" w:sz="6" w:val="single"/>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address of contact person:</w:t>
            </w:r>
          </w:p>
        </w:tc>
        <w:tc>
          <w:tcPr>
            <w:tcBorders>
              <w:top w:color="dadada" w:space="0" w:sz="6" w:val="single"/>
              <w:left w:color="dadada" w:space="0" w:sz="6"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r:id="rId17">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turkmenistan@unfpa.org</w:t>
              </w:r>
            </w:hyperlink>
            <w:r w:rsidDel="00000000" w:rsidR="00000000" w:rsidRPr="00000000">
              <w:rPr>
                <w:rtl w:val="0"/>
              </w:rPr>
            </w:r>
          </w:p>
        </w:tc>
      </w:tr>
    </w:tbl>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note the following guidelines for electronic submissions:</w:t>
      </w:r>
    </w:p>
    <w:p w:rsidR="00000000" w:rsidDel="00000000" w:rsidP="00000000" w:rsidRDefault="00000000" w:rsidRPr="00000000" w14:paraId="0000008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62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reference must be included in the email subject line: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RFQ Nº UNFPA/TKM/RFQ/202</w:t>
      </w:r>
      <w:r w:rsidDel="00000000" w:rsidR="00000000" w:rsidRPr="00000000">
        <w:rPr>
          <w:b w:val="1"/>
          <w:sz w:val="24"/>
          <w:szCs w:val="24"/>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/0</w:t>
      </w:r>
      <w:r w:rsidDel="00000000" w:rsidR="00000000" w:rsidRPr="00000000">
        <w:rPr>
          <w:b w:val="1"/>
          <w:sz w:val="24"/>
          <w:szCs w:val="24"/>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Proposals that do not contain the correct email subject line may be overlooked by the procurement officer and therefore not considered.</w:t>
      </w:r>
    </w:p>
    <w:p w:rsidR="00000000" w:rsidDel="00000000" w:rsidP="00000000" w:rsidRDefault="00000000" w:rsidRPr="00000000" w14:paraId="0000008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79"/>
        </w:tabs>
        <w:spacing w:after="0" w:before="0" w:line="240" w:lineRule="auto"/>
        <w:ind w:left="1079" w:right="62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total email size may not exceed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 MB (including email body, encoded attachments and headers)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the technical details are in large electronic files, it is recommended that these be sent separately before the deadline.</w:t>
      </w:r>
    </w:p>
    <w:p w:rsidR="00000000" w:rsidDel="00000000" w:rsidP="00000000" w:rsidRDefault="00000000" w:rsidRPr="00000000" w14:paraId="0000008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62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quotation submitted will be regarded as an offer by the bidder and does not constitute or imply the acceptance of any quotation by UNFPA. UNFPA is under no obligation to award a contract to any bidder as a result of this RFQ</w:t>
      </w:r>
      <w:r w:rsidDel="00000000" w:rsidR="00000000" w:rsidRPr="00000000">
        <w:rPr>
          <w:rFonts w:ascii="Times New Roman" w:cs="Times New Roman" w:eastAsia="Times New Roman" w:hAnsi="Times New Roman"/>
          <w:b w:val="0"/>
          <w:i w:val="0"/>
          <w:smallCaps w:val="0"/>
          <w:strike w:val="0"/>
          <w:color w:val="30303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pStyle w:val="Heading1"/>
        <w:numPr>
          <w:ilvl w:val="0"/>
          <w:numId w:val="1"/>
        </w:numPr>
        <w:tabs>
          <w:tab w:val="left" w:leader="none" w:pos="1079"/>
        </w:tabs>
        <w:spacing w:after="0" w:before="1" w:line="240" w:lineRule="auto"/>
        <w:ind w:left="1079" w:right="0" w:hanging="686"/>
        <w:jc w:val="left"/>
        <w:rPr/>
      </w:pPr>
      <w:r w:rsidDel="00000000" w:rsidR="00000000" w:rsidRPr="00000000">
        <w:rPr>
          <w:rtl w:val="0"/>
        </w:rPr>
        <w:t xml:space="preserve">Overview of Evaluation Process</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2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Quotations will be evaluated based on the compliance with the technical specifications and the total cost of the goods (as per price quote).</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 w:right="62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evaluation will be carried out in a two-step process by an ad-hoc evaluation panel. Technical proposals will be evaluated for technical compliance prior to the comparison of price quotes.</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pStyle w:val="Heading1"/>
        <w:numPr>
          <w:ilvl w:val="0"/>
          <w:numId w:val="1"/>
        </w:numPr>
        <w:tabs>
          <w:tab w:val="left" w:leader="none" w:pos="1078"/>
        </w:tabs>
        <w:spacing w:after="0" w:before="0" w:line="240" w:lineRule="auto"/>
        <w:ind w:left="1078" w:right="0" w:hanging="778"/>
        <w:jc w:val="both"/>
        <w:rPr/>
      </w:pPr>
      <w:r w:rsidDel="00000000" w:rsidR="00000000" w:rsidRPr="00000000">
        <w:rPr>
          <w:rtl w:val="0"/>
        </w:rPr>
        <w:t xml:space="preserve">Award</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2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 of a satisfactory result from the evaluation process, UNFPA shall award a Purchase Order to the lowest priced bidder whose bid has been determined to be substantially compliant with the bidding documents.</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pStyle w:val="Heading1"/>
        <w:numPr>
          <w:ilvl w:val="0"/>
          <w:numId w:val="1"/>
        </w:numPr>
        <w:tabs>
          <w:tab w:val="left" w:leader="none" w:pos="1077"/>
        </w:tabs>
        <w:spacing w:after="0" w:before="0" w:line="240" w:lineRule="auto"/>
        <w:ind w:left="1077" w:right="0" w:hanging="871"/>
        <w:jc w:val="both"/>
        <w:rPr/>
      </w:pPr>
      <w:r w:rsidDel="00000000" w:rsidR="00000000" w:rsidRPr="00000000">
        <w:rPr>
          <w:rtl w:val="0"/>
        </w:rPr>
        <w:t xml:space="preserve">Right to Vary Requirements at Time of Award</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6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UNFPA reserves the right at the time of award of Contract to increase or decrease, by up to 20%, the volume of goods specified in this RFQ without any change in unit prices or other terms and conditions.</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pStyle w:val="Heading1"/>
        <w:numPr>
          <w:ilvl w:val="0"/>
          <w:numId w:val="1"/>
        </w:numPr>
        <w:tabs>
          <w:tab w:val="left" w:leader="none" w:pos="1077"/>
        </w:tabs>
        <w:spacing w:after="0" w:before="0" w:line="240" w:lineRule="auto"/>
        <w:ind w:left="1077" w:right="0" w:hanging="684"/>
        <w:jc w:val="both"/>
        <w:rPr/>
      </w:pPr>
      <w:r w:rsidDel="00000000" w:rsidR="00000000" w:rsidRPr="00000000">
        <w:rPr>
          <w:rtl w:val="0"/>
        </w:rPr>
        <w:t xml:space="preserve">Payment Terms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63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UNFPA payment terms are net 30 days upon receipt of shipping documents, invoice and other documentation required by the contract.</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pStyle w:val="Heading1"/>
        <w:numPr>
          <w:ilvl w:val="0"/>
          <w:numId w:val="1"/>
        </w:numPr>
        <w:tabs>
          <w:tab w:val="left" w:leader="none" w:pos="1078"/>
        </w:tabs>
        <w:spacing w:after="0" w:before="0" w:line="240" w:lineRule="auto"/>
        <w:ind w:left="1078" w:right="0" w:hanging="591"/>
        <w:jc w:val="both"/>
        <w:rPr/>
      </w:pPr>
      <w:hyperlink r:id="rId18">
        <w:r w:rsidDel="00000000" w:rsidR="00000000" w:rsidRPr="00000000">
          <w:rPr>
            <w:rtl w:val="0"/>
          </w:rPr>
          <w:t xml:space="preserve">Fraud and Corruption</w:t>
        </w:r>
      </w:hyperlink>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62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UNFPA is committed to preventing, identifying, and addressing all acts of fraud against UNFPA, as well as against third parties involved in UNFPA activities. UNFPA’s Policy regarding fraud and corruption is available here: </w:t>
      </w:r>
      <w:hyperlink r:id="rId19">
        <w:r w:rsidDel="00000000" w:rsidR="00000000" w:rsidRPr="00000000">
          <w:rPr>
            <w:rFonts w:ascii="Times New Roman" w:cs="Times New Roman" w:eastAsia="Times New Roman" w:hAnsi="Times New Roman"/>
            <w:b w:val="0"/>
            <w:i w:val="0"/>
            <w:smallCaps w:val="0"/>
            <w:strike w:val="0"/>
            <w:color w:val="003366"/>
            <w:sz w:val="24"/>
            <w:szCs w:val="24"/>
            <w:u w:val="single"/>
            <w:shd w:fill="auto" w:val="clear"/>
            <w:vertAlign w:val="baseline"/>
            <w:rtl w:val="0"/>
          </w:rPr>
          <w:t xml:space="preserve">Fraud Policy</w:t>
        </w:r>
      </w:hyperlink>
      <w:hyperlink r:id="rId2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Submission of a proposal implies that the Bidder is aware of this policy.</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9" w:right="6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9" w:right="62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confidential Anti-Fraud Hotline is available to any Bidder to report suspicious fraudulent activities at </w:t>
      </w:r>
      <w:hyperlink r:id="rId21">
        <w:r w:rsidDel="00000000" w:rsidR="00000000" w:rsidRPr="00000000">
          <w:rPr>
            <w:rFonts w:ascii="Times New Roman" w:cs="Times New Roman" w:eastAsia="Times New Roman" w:hAnsi="Times New Roman"/>
            <w:b w:val="0"/>
            <w:i w:val="0"/>
            <w:smallCaps w:val="0"/>
            <w:strike w:val="0"/>
            <w:color w:val="003366"/>
            <w:sz w:val="24"/>
            <w:szCs w:val="24"/>
            <w:u w:val="single"/>
            <w:shd w:fill="auto" w:val="clear"/>
            <w:vertAlign w:val="baseline"/>
            <w:rtl w:val="0"/>
          </w:rPr>
          <w:t xml:space="preserve">UNFPA Investigation Hotline.</w:t>
        </w:r>
      </w:hyperlink>
      <w:r w:rsidDel="00000000" w:rsidR="00000000" w:rsidRPr="00000000">
        <w:rPr>
          <w:rtl w:val="0"/>
        </w:rPr>
      </w:r>
    </w:p>
    <w:p w:rsidR="00000000" w:rsidDel="00000000" w:rsidP="00000000" w:rsidRDefault="00000000" w:rsidRPr="00000000" w14:paraId="000000A3">
      <w:pPr>
        <w:pStyle w:val="Heading1"/>
        <w:numPr>
          <w:ilvl w:val="0"/>
          <w:numId w:val="1"/>
        </w:numPr>
        <w:tabs>
          <w:tab w:val="left" w:leader="none" w:pos="1077"/>
        </w:tabs>
        <w:spacing w:after="0" w:before="275" w:line="240" w:lineRule="auto"/>
        <w:ind w:left="1077" w:right="0" w:hanging="684"/>
        <w:jc w:val="both"/>
        <w:rPr/>
      </w:pPr>
      <w:r w:rsidDel="00000000" w:rsidR="00000000" w:rsidRPr="00000000">
        <w:rPr>
          <w:rtl w:val="0"/>
        </w:rPr>
        <w:t xml:space="preserve">Zero Tolerance</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2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UNFPA has adopted a zero-tolerance policy on gifts and hospitality. Suppliers are therefore requested not to send gifts or offer hospitality to UNFPA personnel. Further details on this policy are available here: </w:t>
      </w:r>
      <w:hyperlink r:id="rId22">
        <w:r w:rsidDel="00000000" w:rsidR="00000000" w:rsidRPr="00000000">
          <w:rPr>
            <w:rFonts w:ascii="Times New Roman" w:cs="Times New Roman" w:eastAsia="Times New Roman" w:hAnsi="Times New Roman"/>
            <w:b w:val="0"/>
            <w:i w:val="0"/>
            <w:smallCaps w:val="0"/>
            <w:strike w:val="0"/>
            <w:color w:val="003366"/>
            <w:sz w:val="24"/>
            <w:szCs w:val="24"/>
            <w:u w:val="single"/>
            <w:shd w:fill="auto" w:val="clear"/>
            <w:vertAlign w:val="baseline"/>
            <w:rtl w:val="0"/>
          </w:rPr>
          <w:t xml:space="preserve">Zero Tolerance Policy</w:t>
        </w:r>
      </w:hyperlink>
      <w:hyperlink r:id="rId2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A5">
      <w:pPr>
        <w:pStyle w:val="Heading1"/>
        <w:numPr>
          <w:ilvl w:val="0"/>
          <w:numId w:val="1"/>
        </w:numPr>
        <w:tabs>
          <w:tab w:val="left" w:leader="none" w:pos="1079"/>
        </w:tabs>
        <w:spacing w:after="0" w:before="0" w:line="240" w:lineRule="auto"/>
        <w:ind w:left="1079" w:right="0" w:hanging="779"/>
        <w:jc w:val="left"/>
        <w:rPr/>
      </w:pPr>
      <w:r w:rsidDel="00000000" w:rsidR="00000000" w:rsidRPr="00000000">
        <w:rPr>
          <w:rtl w:val="0"/>
        </w:rPr>
        <w:t xml:space="preserve">RFQ Protest</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 w:right="6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Bidder(s) perceiving that they have been unjustly or unfairly treated in connection with a solicitation, evaluation, or award of a contract may submit a complaint to the UNFPA Head of Office, Ayna Seyitliyeva at </w:t>
      </w:r>
      <w:hyperlink r:id="rId2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seyitlieva@unfpa.org.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Should the supplier be unsatisfied with the reply provided by the UNFPA Head of the Business Unit, the supplier may contact the Chief, Procurement Services Branch at </w:t>
      </w:r>
      <w:hyperlink r:id="rId25">
        <w:r w:rsidDel="00000000" w:rsidR="00000000" w:rsidRPr="00000000">
          <w:rPr>
            <w:rFonts w:ascii="Times New Roman" w:cs="Times New Roman" w:eastAsia="Times New Roman" w:hAnsi="Times New Roman"/>
            <w:b w:val="0"/>
            <w:i w:val="0"/>
            <w:smallCaps w:val="0"/>
            <w:strike w:val="0"/>
            <w:color w:val="003366"/>
            <w:sz w:val="24"/>
            <w:szCs w:val="24"/>
            <w:u w:val="single"/>
            <w:shd w:fill="auto" w:val="clear"/>
            <w:vertAlign w:val="baseline"/>
            <w:rtl w:val="0"/>
          </w:rPr>
          <w:t xml:space="preserve">procurement@unfpa.org</w:t>
        </w:r>
      </w:hyperlink>
      <w:hyperlink r:id="rId2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pStyle w:val="Heading1"/>
        <w:numPr>
          <w:ilvl w:val="0"/>
          <w:numId w:val="1"/>
        </w:numPr>
        <w:tabs>
          <w:tab w:val="left" w:leader="none" w:pos="1079"/>
        </w:tabs>
        <w:spacing w:after="0" w:before="0" w:line="240" w:lineRule="auto"/>
        <w:ind w:left="1079" w:right="0" w:hanging="873"/>
        <w:jc w:val="left"/>
        <w:rPr/>
      </w:pPr>
      <w:r w:rsidDel="00000000" w:rsidR="00000000" w:rsidRPr="00000000">
        <w:rPr>
          <w:rtl w:val="0"/>
        </w:rPr>
        <w:t xml:space="preserve">Disclaimer</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9" w:right="62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any of the links in this RFQ document be unavailable or inaccessible for any reason, bidders can contact the Procurement Officer in charge of the procurement to request for them to share a PDF version of such document(s).</w:t>
      </w:r>
    </w:p>
    <w:sectPr>
      <w:type w:val="nextPage"/>
      <w:pgSz w:h="16840" w:w="11910" w:orient="portrait"/>
      <w:pgMar w:bottom="1100" w:top="2000" w:left="720" w:right="220" w:header="938" w:footer="90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6248400</wp:posOffset>
              </wp:positionH>
              <wp:positionV relativeFrom="paragraph">
                <wp:posOffset>9969500</wp:posOffset>
              </wp:positionV>
              <wp:extent cx="324485" cy="149225"/>
              <wp:effectExtent b="0" l="0" r="0" t="0"/>
              <wp:wrapNone/>
              <wp:docPr id="7" name=""/>
              <a:graphic>
                <a:graphicData uri="http://schemas.microsoft.com/office/word/2010/wordprocessingShape">
                  <wps:wsp>
                    <wps:cNvSpPr/>
                    <wps:cNvPr id="4" name="Shape 4"/>
                    <wps:spPr>
                      <a:xfrm>
                        <a:off x="5188520" y="3710150"/>
                        <a:ext cx="314960" cy="139700"/>
                      </a:xfrm>
                      <a:prstGeom prst="rect">
                        <a:avLst/>
                      </a:prstGeom>
                      <a:noFill/>
                      <a:ln>
                        <a:noFill/>
                      </a:ln>
                    </wps:spPr>
                    <wps:txbx>
                      <w:txbxContent>
                        <w:p w:rsidR="00000000" w:rsidDel="00000000" w:rsidP="00000000" w:rsidRDefault="00000000" w:rsidRPr="00000000">
                          <w:pPr>
                            <w:spacing w:after="0" w:before="0" w:line="203.00000667572021"/>
                            <w:ind w:left="60" w:right="0" w:firstLine="6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 PAGE 1 of  NUMPAGES 7</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6248400</wp:posOffset>
              </wp:positionH>
              <wp:positionV relativeFrom="paragraph">
                <wp:posOffset>9969500</wp:posOffset>
              </wp:positionV>
              <wp:extent cx="324485" cy="149225"/>
              <wp:effectExtent b="0" l="0" r="0" t="0"/>
              <wp:wrapNone/>
              <wp:docPr id="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24485" cy="1492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431800</wp:posOffset>
              </wp:positionH>
              <wp:positionV relativeFrom="paragraph">
                <wp:posOffset>10109200</wp:posOffset>
              </wp:positionV>
              <wp:extent cx="4030979" cy="149860"/>
              <wp:effectExtent b="0" l="0" r="0" t="0"/>
              <wp:wrapNone/>
              <wp:docPr id="5" name=""/>
              <a:graphic>
                <a:graphicData uri="http://schemas.microsoft.com/office/word/2010/wordprocessingShape">
                  <wps:wsp>
                    <wps:cNvSpPr/>
                    <wps:cNvPr id="2" name="Shape 2"/>
                    <wps:spPr>
                      <a:xfrm>
                        <a:off x="3335273" y="3709833"/>
                        <a:ext cx="4021454" cy="140335"/>
                      </a:xfrm>
                      <a:prstGeom prst="rect">
                        <a:avLst/>
                      </a:prstGeom>
                      <a:noFill/>
                      <a:ln>
                        <a:noFill/>
                      </a:ln>
                    </wps:spPr>
                    <wps:txbx>
                      <w:txbxContent>
                        <w:p w:rsidR="00000000" w:rsidDel="00000000" w:rsidP="00000000" w:rsidRDefault="00000000" w:rsidRPr="00000000">
                          <w:pPr>
                            <w:spacing w:after="0" w:before="0" w:line="203.00000667572021"/>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UNFPA/SCMU/Bids/Request for Quotation for Goods/RFQ/ RFQ Goods [0222 – Rev01]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431800</wp:posOffset>
              </wp:positionH>
              <wp:positionV relativeFrom="paragraph">
                <wp:posOffset>10109200</wp:posOffset>
              </wp:positionV>
              <wp:extent cx="4030979" cy="149860"/>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30979" cy="1498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987425</wp:posOffset>
          </wp:positionH>
          <wp:positionV relativeFrom="page">
            <wp:posOffset>595883</wp:posOffset>
          </wp:positionV>
          <wp:extent cx="971549" cy="456920"/>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71549" cy="45692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5118456</wp:posOffset>
              </wp:positionH>
              <wp:positionV relativeFrom="page">
                <wp:posOffset>600900</wp:posOffset>
              </wp:positionV>
              <wp:extent cx="2084070" cy="568325"/>
              <wp:effectExtent b="0" l="0" r="0" t="0"/>
              <wp:wrapNone/>
              <wp:docPr id="6" name=""/>
              <a:graphic>
                <a:graphicData uri="http://schemas.microsoft.com/office/word/2010/wordprocessingShape">
                  <wps:wsp>
                    <wps:cNvSpPr/>
                    <wps:cNvPr id="3" name="Shape 3"/>
                    <wps:spPr>
                      <a:xfrm>
                        <a:off x="4308728" y="3500600"/>
                        <a:ext cx="2074545" cy="558800"/>
                      </a:xfrm>
                      <a:prstGeom prst="rect">
                        <a:avLst/>
                      </a:prstGeom>
                      <a:noFill/>
                      <a:ln>
                        <a:noFill/>
                      </a:ln>
                    </wps:spPr>
                    <wps:txbx>
                      <w:txbxContent>
                        <w:p w:rsidR="00000000" w:rsidDel="00000000" w:rsidP="00000000" w:rsidRDefault="00000000" w:rsidRPr="00000000">
                          <w:pPr>
                            <w:spacing w:after="0" w:before="0" w:line="203.00000667572021"/>
                            <w:ind w:left="900" w:right="0" w:firstLine="90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United Nations Population Fund</w:t>
                          </w:r>
                        </w:p>
                        <w:p w:rsidR="00000000" w:rsidDel="00000000" w:rsidP="00000000" w:rsidRDefault="00000000" w:rsidRPr="00000000">
                          <w:pPr>
                            <w:spacing w:after="0" w:before="1.0000000149011612" w:line="240"/>
                            <w:ind w:left="20" w:right="17.999999523162842" w:firstLine="1685"/>
                            <w:jc w:val="righ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UNFPA Turkmenistan Archabil 21, 74400, Ashgabat, Turkmenistan Email: </w:t>
                          </w:r>
                          <w:r w:rsidDel="00000000" w:rsidR="00000000" w:rsidRPr="00000000">
                            <w:rPr>
                              <w:rFonts w:ascii="Calibri" w:cs="Calibri" w:eastAsia="Calibri" w:hAnsi="Calibri"/>
                              <w:b w:val="0"/>
                              <w:i w:val="1"/>
                              <w:smallCaps w:val="0"/>
                              <w:strike w:val="0"/>
                              <w:color w:val="000000"/>
                              <w:sz w:val="18"/>
                              <w:vertAlign w:val="baseline"/>
                            </w:rPr>
                            <w:t xml:space="preserve">turkmenistan@unfpa.org</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5118456</wp:posOffset>
              </wp:positionH>
              <wp:positionV relativeFrom="page">
                <wp:posOffset>600900</wp:posOffset>
              </wp:positionV>
              <wp:extent cx="2084070" cy="568325"/>
              <wp:effectExtent b="0" l="0" r="0" t="0"/>
              <wp:wrapNone/>
              <wp:docPr id="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084070" cy="5683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514"/>
      </w:pPr>
      <w:rPr>
        <w:rFonts w:ascii="Times New Roman" w:cs="Times New Roman" w:eastAsia="Times New Roman" w:hAnsi="Times New Roman"/>
        <w:b w:val="1"/>
        <w:i w:val="0"/>
        <w:sz w:val="24"/>
        <w:szCs w:val="24"/>
      </w:rPr>
    </w:lvl>
    <w:lvl w:ilvl="1">
      <w:start w:val="0"/>
      <w:numFmt w:val="bullet"/>
      <w:lvlText w:val="●"/>
      <w:lvlJc w:val="left"/>
      <w:pPr>
        <w:ind w:left="1440" w:hanging="360"/>
      </w:pPr>
      <w:rPr>
        <w:rFonts w:ascii="Times New Roman" w:cs="Times New Roman" w:eastAsia="Times New Roman" w:hAnsi="Times New Roman"/>
        <w:b w:val="0"/>
        <w:i w:val="0"/>
        <w:sz w:val="24"/>
        <w:szCs w:val="24"/>
      </w:rPr>
    </w:lvl>
    <w:lvl w:ilvl="2">
      <w:start w:val="0"/>
      <w:numFmt w:val="bullet"/>
      <w:lvlText w:val="•"/>
      <w:lvlJc w:val="left"/>
      <w:pPr>
        <w:ind w:left="2498" w:hanging="360"/>
      </w:pPr>
      <w:rPr/>
    </w:lvl>
    <w:lvl w:ilvl="3">
      <w:start w:val="0"/>
      <w:numFmt w:val="bullet"/>
      <w:lvlText w:val="•"/>
      <w:lvlJc w:val="left"/>
      <w:pPr>
        <w:ind w:left="3556" w:hanging="360"/>
      </w:pPr>
      <w:rPr/>
    </w:lvl>
    <w:lvl w:ilvl="4">
      <w:start w:val="0"/>
      <w:numFmt w:val="bullet"/>
      <w:lvlText w:val="•"/>
      <w:lvlJc w:val="left"/>
      <w:pPr>
        <w:ind w:left="4615" w:hanging="360"/>
      </w:pPr>
      <w:rPr/>
    </w:lvl>
    <w:lvl w:ilvl="5">
      <w:start w:val="0"/>
      <w:numFmt w:val="bullet"/>
      <w:lvlText w:val="•"/>
      <w:lvlJc w:val="left"/>
      <w:pPr>
        <w:ind w:left="5673" w:hanging="360"/>
      </w:pPr>
      <w:rPr/>
    </w:lvl>
    <w:lvl w:ilvl="6">
      <w:start w:val="0"/>
      <w:numFmt w:val="bullet"/>
      <w:lvlText w:val="•"/>
      <w:lvlJc w:val="left"/>
      <w:pPr>
        <w:ind w:left="6732" w:hanging="360"/>
      </w:pPr>
      <w:rPr/>
    </w:lvl>
    <w:lvl w:ilvl="7">
      <w:start w:val="0"/>
      <w:numFmt w:val="bullet"/>
      <w:lvlText w:val="•"/>
      <w:lvlJc w:val="left"/>
      <w:pPr>
        <w:ind w:left="7790" w:hanging="360"/>
      </w:pPr>
      <w:rPr/>
    </w:lvl>
    <w:lvl w:ilvl="8">
      <w:start w:val="0"/>
      <w:numFmt w:val="bullet"/>
      <w:lvlText w:val="•"/>
      <w:lvlJc w:val="left"/>
      <w:pPr>
        <w:ind w:left="8849" w:hanging="360"/>
      </w:pPr>
      <w:rPr/>
    </w:lvl>
  </w:abstractNum>
  <w:abstractNum w:abstractNumId="2">
    <w:lvl w:ilvl="0">
      <w:start w:val="0"/>
      <w:numFmt w:val="bullet"/>
      <w:lvlText w:val="●"/>
      <w:lvlJc w:val="left"/>
      <w:pPr>
        <w:ind w:left="1080" w:hanging="360"/>
      </w:pPr>
      <w:rPr>
        <w:rFonts w:ascii="Noto Sans Symbols" w:cs="Noto Sans Symbols" w:eastAsia="Noto Sans Symbols" w:hAnsi="Noto Sans Symbols"/>
        <w:b w:val="0"/>
        <w:i w:val="0"/>
        <w:sz w:val="24"/>
        <w:szCs w:val="24"/>
      </w:rPr>
    </w:lvl>
    <w:lvl w:ilvl="1">
      <w:start w:val="0"/>
      <w:numFmt w:val="bullet"/>
      <w:lvlText w:val="•"/>
      <w:lvlJc w:val="left"/>
      <w:pPr>
        <w:ind w:left="2068" w:hanging="360"/>
      </w:pPr>
      <w:rPr/>
    </w:lvl>
    <w:lvl w:ilvl="2">
      <w:start w:val="0"/>
      <w:numFmt w:val="bullet"/>
      <w:lvlText w:val="•"/>
      <w:lvlJc w:val="left"/>
      <w:pPr>
        <w:ind w:left="3057" w:hanging="360"/>
      </w:pPr>
      <w:rPr/>
    </w:lvl>
    <w:lvl w:ilvl="3">
      <w:start w:val="0"/>
      <w:numFmt w:val="bullet"/>
      <w:lvlText w:val="•"/>
      <w:lvlJc w:val="left"/>
      <w:pPr>
        <w:ind w:left="4045" w:hanging="360"/>
      </w:pPr>
      <w:rPr/>
    </w:lvl>
    <w:lvl w:ilvl="4">
      <w:start w:val="0"/>
      <w:numFmt w:val="bullet"/>
      <w:lvlText w:val="•"/>
      <w:lvlJc w:val="left"/>
      <w:pPr>
        <w:ind w:left="5034" w:hanging="360"/>
      </w:pPr>
      <w:rPr/>
    </w:lvl>
    <w:lvl w:ilvl="5">
      <w:start w:val="0"/>
      <w:numFmt w:val="bullet"/>
      <w:lvlText w:val="•"/>
      <w:lvlJc w:val="left"/>
      <w:pPr>
        <w:ind w:left="6023" w:hanging="360"/>
      </w:pPr>
      <w:rPr/>
    </w:lvl>
    <w:lvl w:ilvl="6">
      <w:start w:val="0"/>
      <w:numFmt w:val="bullet"/>
      <w:lvlText w:val="•"/>
      <w:lvlJc w:val="left"/>
      <w:pPr>
        <w:ind w:left="7011" w:hanging="360"/>
      </w:pPr>
      <w:rPr/>
    </w:lvl>
    <w:lvl w:ilvl="7">
      <w:start w:val="0"/>
      <w:numFmt w:val="bullet"/>
      <w:lvlText w:val="•"/>
      <w:lvlJc w:val="left"/>
      <w:pPr>
        <w:ind w:left="8000" w:hanging="360"/>
      </w:pPr>
      <w:rPr/>
    </w:lvl>
    <w:lvl w:ilvl="8">
      <w:start w:val="0"/>
      <w:numFmt w:val="bullet"/>
      <w:lvlText w:val="•"/>
      <w:lvlJc w:val="left"/>
      <w:pPr>
        <w:ind w:left="8989" w:hanging="360"/>
      </w:pPr>
      <w:rPr/>
    </w:lvl>
  </w:abstractNum>
  <w:abstractNum w:abstractNumId="3">
    <w:lvl w:ilvl="0">
      <w:start w:val="1"/>
      <w:numFmt w:val="lowerLetter"/>
      <w:lvlText w:val="%1)"/>
      <w:lvlJc w:val="left"/>
      <w:pPr>
        <w:ind w:left="1080" w:hanging="360"/>
      </w:pPr>
      <w:rPr>
        <w:rFonts w:ascii="Times New Roman" w:cs="Times New Roman" w:eastAsia="Times New Roman" w:hAnsi="Times New Roman"/>
        <w:b w:val="0"/>
        <w:i w:val="0"/>
        <w:sz w:val="24"/>
        <w:szCs w:val="24"/>
      </w:rPr>
    </w:lvl>
    <w:lvl w:ilvl="1">
      <w:start w:val="0"/>
      <w:numFmt w:val="bullet"/>
      <w:lvlText w:val="●"/>
      <w:lvlJc w:val="left"/>
      <w:pPr>
        <w:ind w:left="1800" w:hanging="360"/>
      </w:pPr>
      <w:rPr>
        <w:rFonts w:ascii="Noto Sans Symbols" w:cs="Noto Sans Symbols" w:eastAsia="Noto Sans Symbols" w:hAnsi="Noto Sans Symbols"/>
        <w:b w:val="0"/>
        <w:i w:val="0"/>
        <w:sz w:val="24"/>
        <w:szCs w:val="24"/>
      </w:rPr>
    </w:lvl>
    <w:lvl w:ilvl="2">
      <w:start w:val="0"/>
      <w:numFmt w:val="bullet"/>
      <w:lvlText w:val="•"/>
      <w:lvlJc w:val="left"/>
      <w:pPr>
        <w:ind w:left="2818" w:hanging="360"/>
      </w:pPr>
      <w:rPr/>
    </w:lvl>
    <w:lvl w:ilvl="3">
      <w:start w:val="0"/>
      <w:numFmt w:val="bullet"/>
      <w:lvlText w:val="•"/>
      <w:lvlJc w:val="left"/>
      <w:pPr>
        <w:ind w:left="3836" w:hanging="360"/>
      </w:pPr>
      <w:rPr/>
    </w:lvl>
    <w:lvl w:ilvl="4">
      <w:start w:val="0"/>
      <w:numFmt w:val="bullet"/>
      <w:lvlText w:val="•"/>
      <w:lvlJc w:val="left"/>
      <w:pPr>
        <w:ind w:left="4855" w:hanging="360"/>
      </w:pPr>
      <w:rPr/>
    </w:lvl>
    <w:lvl w:ilvl="5">
      <w:start w:val="0"/>
      <w:numFmt w:val="bullet"/>
      <w:lvlText w:val="•"/>
      <w:lvlJc w:val="left"/>
      <w:pPr>
        <w:ind w:left="5873" w:hanging="360"/>
      </w:pPr>
      <w:rPr/>
    </w:lvl>
    <w:lvl w:ilvl="6">
      <w:start w:val="0"/>
      <w:numFmt w:val="bullet"/>
      <w:lvlText w:val="•"/>
      <w:lvlJc w:val="left"/>
      <w:pPr>
        <w:ind w:left="6892" w:hanging="360"/>
      </w:pPr>
      <w:rPr/>
    </w:lvl>
    <w:lvl w:ilvl="7">
      <w:start w:val="0"/>
      <w:numFmt w:val="bullet"/>
      <w:lvlText w:val="•"/>
      <w:lvlJc w:val="left"/>
      <w:pPr>
        <w:ind w:left="7910" w:hanging="360"/>
      </w:pPr>
      <w:rPr/>
    </w:lvl>
    <w:lvl w:ilvl="8">
      <w:start w:val="0"/>
      <w:numFmt w:val="bullet"/>
      <w:lvlText w:val="•"/>
      <w:lvlJc w:val="left"/>
      <w:pPr>
        <w:ind w:left="8929"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79" w:hanging="684"/>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Times New Roman" w:cs="Times New Roman" w:eastAsia="Times New Roman" w:hAnsi="Times New Roman"/>
      <w:sz w:val="24"/>
      <w:szCs w:val="24"/>
      <w:lang w:bidi="ar-SA" w:eastAsia="en-US" w:val="en-US"/>
    </w:rPr>
  </w:style>
  <w:style w:type="paragraph" w:styleId="Heading1">
    <w:name w:val="Heading 1"/>
    <w:basedOn w:val="Normal"/>
    <w:uiPriority w:val="1"/>
    <w:qFormat w:val="1"/>
    <w:pPr>
      <w:ind w:left="1079" w:hanging="684"/>
      <w:outlineLvl w:val="1"/>
    </w:pPr>
    <w:rPr>
      <w:rFonts w:ascii="Times New Roman" w:cs="Times New Roman" w:eastAsia="Times New Roman" w:hAnsi="Times New Roman"/>
      <w:b w:val="1"/>
      <w:bCs w:val="1"/>
      <w:sz w:val="24"/>
      <w:szCs w:val="24"/>
      <w:lang w:bidi="ar-SA" w:eastAsia="en-US" w:val="en-US"/>
    </w:rPr>
  </w:style>
  <w:style w:type="paragraph" w:styleId="ListParagraph">
    <w:name w:val="List Paragraph"/>
    <w:basedOn w:val="Normal"/>
    <w:uiPriority w:val="1"/>
    <w:qFormat w:val="1"/>
    <w:pPr>
      <w:ind w:left="1079" w:hanging="360"/>
      <w:jc w:val="both"/>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ind w:left="107"/>
    </w:pPr>
    <w:rPr>
      <w:rFonts w:ascii="Times New Roman" w:cs="Times New Roman" w:eastAsia="Times New Roman" w:hAnsi="Times New Roman"/>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unfpa.org/resources/fraud-policy-2009%23overlay-context%3Dnode/10356/draft" TargetMode="External"/><Relationship Id="rId22" Type="http://schemas.openxmlformats.org/officeDocument/2006/relationships/hyperlink" Target="http://www.unfpa.org/about-procurement#ZeroTolerance" TargetMode="External"/><Relationship Id="rId21" Type="http://schemas.openxmlformats.org/officeDocument/2006/relationships/hyperlink" Target="http://web2.unfpa.org/help/hotline.cfm" TargetMode="External"/><Relationship Id="rId24" Type="http://schemas.openxmlformats.org/officeDocument/2006/relationships/hyperlink" Target="mailto:seyitlieva@unfpa.org" TargetMode="External"/><Relationship Id="rId23" Type="http://schemas.openxmlformats.org/officeDocument/2006/relationships/hyperlink" Target="http://www.unfpa.org/about-procurement#ZeroTolera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nfpa.org/about-us" TargetMode="External"/><Relationship Id="rId26" Type="http://schemas.openxmlformats.org/officeDocument/2006/relationships/hyperlink" Target="mailto:procurement@unfpa.org" TargetMode="External"/><Relationship Id="rId25" Type="http://schemas.openxmlformats.org/officeDocument/2006/relationships/hyperlink" Target="mailto:procurement@unfp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 Id="rId11" Type="http://schemas.openxmlformats.org/officeDocument/2006/relationships/hyperlink" Target="https://www.un.org/securitycouncil/content/un-sc-consolidated-list" TargetMode="External"/><Relationship Id="rId10" Type="http://schemas.openxmlformats.org/officeDocument/2006/relationships/hyperlink" Target="mailto:demchuk@unfpa.org" TargetMode="External"/><Relationship Id="rId13" Type="http://schemas.openxmlformats.org/officeDocument/2006/relationships/hyperlink" Target="http://www.ungm.org/" TargetMode="External"/><Relationship Id="rId12" Type="http://schemas.openxmlformats.org/officeDocument/2006/relationships/hyperlink" Target="https://www.un.org/securitycouncil/content/un-sc-consolidated-list" TargetMode="External"/><Relationship Id="rId15" Type="http://schemas.openxmlformats.org/officeDocument/2006/relationships/hyperlink" Target="https://www.worldbank.org/en/about/corporate-procurement/business-opportunities/non-responsible-vendors" TargetMode="External"/><Relationship Id="rId14" Type="http://schemas.openxmlformats.org/officeDocument/2006/relationships/hyperlink" Target="https://www.worldbank.org/en/about/corporate-procurement/business-opportunities/non-responsible-vendors" TargetMode="External"/><Relationship Id="rId17" Type="http://schemas.openxmlformats.org/officeDocument/2006/relationships/hyperlink" Target="mailto:turkmenistan@unfpa.org" TargetMode="External"/><Relationship Id="rId16" Type="http://schemas.openxmlformats.org/officeDocument/2006/relationships/hyperlink" Target="http://www.un.org/Depts/ptd/pdf/conduct_english.pdf" TargetMode="External"/><Relationship Id="rId19" Type="http://schemas.openxmlformats.org/officeDocument/2006/relationships/hyperlink" Target="http://www.unfpa.org/resources/fraud-policy-2009%23overlay-context%3Dnode/10356/draft" TargetMode="External"/><Relationship Id="rId18" Type="http://schemas.openxmlformats.org/officeDocument/2006/relationships/hyperlink" Target="http://www.unfpa.org/about-procurement#FraudCorrup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gk374j55KAUGpZUhVM3xbl0cGA==">CgMxLjA4AHIhMW1iM3prYUZwMmp1MzVURUVsTjZ5QmY3MFlfNTRKY0ZY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2024-09-13T06:44:42Z</dcterms:created>
  <dc:creator>roberto.mena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2022-09-30T00:00:00Z</vt:lpwstr>
  </property>
  <property fmtid="{D5CDD505-2E9C-101B-9397-08002B2CF9AE}" pid="3" name="Creator">
    <vt:lpwstr>Acrobat PDFMaker 11 for Word</vt:lpwstr>
  </property>
  <property fmtid="{D5CDD505-2E9C-101B-9397-08002B2CF9AE}" pid="4" name="LastSaved">
    <vt:lpwstr>2024-09-13T00:00:00Z</vt:lpwstr>
  </property>
  <property fmtid="{D5CDD505-2E9C-101B-9397-08002B2CF9AE}" pid="5" name="Producer">
    <vt:lpwstr>Adobe PDF Library 11.0</vt:lpwstr>
  </property>
  <property fmtid="{D5CDD505-2E9C-101B-9397-08002B2CF9AE}" pid="6" name="SourceModified">
    <vt:lpwstr>D:20220930123138</vt:lpwstr>
  </property>
</Properties>
</file>