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E734D" w14:textId="311A5F30" w:rsidR="005D7E90" w:rsidRPr="00E83345" w:rsidRDefault="005D7E90" w:rsidP="00152E15">
      <w:pPr>
        <w:suppressAutoHyphens/>
        <w:jc w:val="center"/>
        <w:rPr>
          <w:rFonts w:ascii="Calibri" w:hAnsi="Calibri" w:cs="Calibri"/>
          <w:b/>
          <w:sz w:val="22"/>
          <w:szCs w:val="22"/>
        </w:rPr>
      </w:pPr>
      <w:bookmarkStart w:id="0" w:name="_GoBack"/>
      <w:bookmarkEnd w:id="0"/>
      <w:r w:rsidRPr="00E83345">
        <w:rPr>
          <w:rFonts w:ascii="Calibri" w:hAnsi="Calibri" w:cs="Calibri"/>
          <w:b/>
          <w:sz w:val="22"/>
          <w:szCs w:val="22"/>
        </w:rPr>
        <w:t>UNFPA Turkmenistan</w:t>
      </w:r>
    </w:p>
    <w:p w14:paraId="2FBEE345" w14:textId="51492E34" w:rsidR="00152E15" w:rsidRPr="00E83345" w:rsidRDefault="00152E15" w:rsidP="00152E15">
      <w:pPr>
        <w:suppressAutoHyphens/>
        <w:jc w:val="center"/>
        <w:rPr>
          <w:rFonts w:ascii="Calibri" w:hAnsi="Calibri" w:cs="Calibri"/>
          <w:b/>
          <w:sz w:val="22"/>
          <w:szCs w:val="22"/>
        </w:rPr>
      </w:pPr>
      <w:r w:rsidRPr="00E83345">
        <w:rPr>
          <w:rFonts w:ascii="Calibri" w:hAnsi="Calibri" w:cs="Calibri"/>
          <w:b/>
          <w:sz w:val="22"/>
          <w:szCs w:val="22"/>
        </w:rPr>
        <w:t>TERMS OF REFERENCE FOR INDIVIDUAL CONSULTANT</w:t>
      </w:r>
      <w:r w:rsidR="00FE2055" w:rsidRPr="00E83345">
        <w:rPr>
          <w:rFonts w:ascii="Calibri" w:hAnsi="Calibri" w:cs="Calibri"/>
          <w:b/>
          <w:sz w:val="22"/>
          <w:szCs w:val="22"/>
        </w:rPr>
        <w:t xml:space="preserve"> (International) </w:t>
      </w:r>
    </w:p>
    <w:p w14:paraId="07FDE768" w14:textId="7D7C0263" w:rsidR="009515C6" w:rsidRPr="00E83345" w:rsidRDefault="00470450" w:rsidP="00DA027F">
      <w:pPr>
        <w:suppressAutoHyphens/>
        <w:jc w:val="center"/>
        <w:rPr>
          <w:rFonts w:ascii="Calibri" w:hAnsi="Calibri" w:cs="Calibri"/>
          <w:b/>
          <w:sz w:val="22"/>
          <w:szCs w:val="22"/>
        </w:rPr>
      </w:pPr>
      <w:r>
        <w:rPr>
          <w:rFonts w:ascii="Calibri" w:hAnsi="Calibri" w:cs="Calibri"/>
          <w:b/>
          <w:sz w:val="22"/>
          <w:szCs w:val="22"/>
        </w:rPr>
        <w:t>t</w:t>
      </w:r>
      <w:r w:rsidR="00BD7AD7">
        <w:rPr>
          <w:rFonts w:ascii="Calibri" w:hAnsi="Calibri" w:cs="Calibri"/>
          <w:b/>
          <w:sz w:val="22"/>
          <w:szCs w:val="22"/>
        </w:rPr>
        <w:t xml:space="preserve">o conduct </w:t>
      </w:r>
      <w:r>
        <w:rPr>
          <w:rFonts w:ascii="Calibri" w:hAnsi="Calibri" w:cs="Calibri"/>
          <w:b/>
          <w:sz w:val="22"/>
          <w:szCs w:val="22"/>
        </w:rPr>
        <w:t>f</w:t>
      </w:r>
      <w:r w:rsidR="00BD7AD7">
        <w:rPr>
          <w:rFonts w:ascii="Calibri" w:hAnsi="Calibri" w:cs="Calibri"/>
          <w:b/>
          <w:sz w:val="22"/>
          <w:szCs w:val="22"/>
        </w:rPr>
        <w:t xml:space="preserve">inal </w:t>
      </w:r>
      <w:r>
        <w:rPr>
          <w:rFonts w:ascii="Calibri" w:hAnsi="Calibri" w:cs="Calibri"/>
          <w:b/>
          <w:sz w:val="22"/>
          <w:szCs w:val="22"/>
        </w:rPr>
        <w:t>a</w:t>
      </w:r>
      <w:r w:rsidR="00BD7AD7">
        <w:rPr>
          <w:rFonts w:ascii="Calibri" w:hAnsi="Calibri" w:cs="Calibri"/>
          <w:b/>
          <w:sz w:val="22"/>
          <w:szCs w:val="22"/>
        </w:rPr>
        <w:t xml:space="preserve">ssessment of </w:t>
      </w:r>
      <w:r w:rsidR="005D4140" w:rsidRPr="005D4140">
        <w:rPr>
          <w:rFonts w:ascii="Calibri" w:hAnsi="Calibri" w:cs="Calibri"/>
          <w:b/>
          <w:sz w:val="22"/>
          <w:szCs w:val="22"/>
        </w:rPr>
        <w:t>the</w:t>
      </w:r>
      <w:r>
        <w:rPr>
          <w:rFonts w:ascii="Calibri" w:hAnsi="Calibri" w:cs="Calibri"/>
          <w:b/>
          <w:sz w:val="22"/>
          <w:szCs w:val="22"/>
        </w:rPr>
        <w:t xml:space="preserve"> Human Security Trust Fund</w:t>
      </w:r>
      <w:r w:rsidR="005D4140" w:rsidRPr="005D4140">
        <w:rPr>
          <w:rFonts w:ascii="Calibri" w:hAnsi="Calibri" w:cs="Calibri"/>
          <w:b/>
          <w:sz w:val="22"/>
          <w:szCs w:val="22"/>
        </w:rPr>
        <w:t xml:space="preserve"> </w:t>
      </w:r>
      <w:r>
        <w:rPr>
          <w:rFonts w:ascii="Calibri" w:hAnsi="Calibri" w:cs="Calibri"/>
          <w:b/>
          <w:sz w:val="22"/>
          <w:szCs w:val="22"/>
        </w:rPr>
        <w:t>J</w:t>
      </w:r>
      <w:r w:rsidR="005D4140" w:rsidRPr="005D4140">
        <w:rPr>
          <w:rFonts w:ascii="Calibri" w:hAnsi="Calibri" w:cs="Calibri"/>
          <w:b/>
          <w:sz w:val="22"/>
          <w:szCs w:val="22"/>
        </w:rPr>
        <w:t xml:space="preserve">oint </w:t>
      </w:r>
      <w:r>
        <w:rPr>
          <w:rFonts w:ascii="Calibri" w:hAnsi="Calibri" w:cs="Calibri"/>
          <w:b/>
          <w:sz w:val="22"/>
          <w:szCs w:val="22"/>
        </w:rPr>
        <w:t>P</w:t>
      </w:r>
      <w:r w:rsidR="005D4140" w:rsidRPr="005D4140">
        <w:rPr>
          <w:rFonts w:ascii="Calibri" w:hAnsi="Calibri" w:cs="Calibri"/>
          <w:b/>
          <w:sz w:val="22"/>
          <w:szCs w:val="22"/>
        </w:rPr>
        <w:t>rogramme (JP) on “Empowering and Engaging the Youth to Mitigate the Multi-Dimensional Threats of the Health Pandemic”</w:t>
      </w:r>
      <w:r>
        <w:rPr>
          <w:rFonts w:ascii="Calibri" w:hAnsi="Calibri" w:cs="Calibri"/>
          <w:b/>
          <w:sz w:val="22"/>
          <w:szCs w:val="22"/>
        </w:rPr>
        <w:t xml:space="preserve"> of the Government of Turkmenistan and the UN</w:t>
      </w:r>
      <w:r w:rsidR="005D4140" w:rsidRPr="005D4140">
        <w:rPr>
          <w:rFonts w:ascii="Calibri" w:hAnsi="Calibri" w:cs="Calibri"/>
          <w:b/>
          <w:sz w:val="22"/>
          <w:szCs w:val="22"/>
        </w:rPr>
        <w:t xml:space="preserve"> </w:t>
      </w:r>
    </w:p>
    <w:p w14:paraId="49219BEB" w14:textId="77777777" w:rsidR="00152E15" w:rsidRPr="00E83345" w:rsidRDefault="00152E15" w:rsidP="00152E15">
      <w:pPr>
        <w:suppressAutoHyphens/>
        <w:jc w:val="center"/>
        <w:rPr>
          <w:rFonts w:ascii="Calibri" w:hAnsi="Calibri" w:cs="Calibri"/>
          <w:b/>
          <w:sz w:val="22"/>
          <w:szCs w:val="22"/>
        </w:rPr>
      </w:pPr>
    </w:p>
    <w:tbl>
      <w:tblPr>
        <w:tblW w:w="107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2790"/>
        <w:gridCol w:w="7920"/>
      </w:tblGrid>
      <w:tr w:rsidR="00152E15" w:rsidRPr="00E83345" w14:paraId="7C4D7B85" w14:textId="77777777" w:rsidTr="002871E4">
        <w:trPr>
          <w:trHeight w:val="216"/>
        </w:trPr>
        <w:tc>
          <w:tcPr>
            <w:tcW w:w="10710" w:type="dxa"/>
            <w:gridSpan w:val="2"/>
            <w:shd w:val="clear" w:color="auto" w:fill="E6E6E6"/>
          </w:tcPr>
          <w:p w14:paraId="296755A6" w14:textId="0B1E6A44" w:rsidR="00152E15" w:rsidRPr="00E83345" w:rsidRDefault="00152E15" w:rsidP="005D7E90">
            <w:pPr>
              <w:tabs>
                <w:tab w:val="left" w:pos="-720"/>
              </w:tabs>
              <w:suppressAutoHyphens/>
              <w:spacing w:before="109" w:after="54"/>
              <w:jc w:val="center"/>
              <w:rPr>
                <w:rFonts w:ascii="Calibri" w:hAnsi="Calibri" w:cs="Calibri"/>
                <w:b/>
                <w:sz w:val="22"/>
                <w:szCs w:val="22"/>
              </w:rPr>
            </w:pPr>
            <w:r w:rsidRPr="00E83345">
              <w:rPr>
                <w:rFonts w:ascii="Calibri" w:hAnsi="Calibri" w:cs="Calibri"/>
                <w:b/>
                <w:sz w:val="22"/>
                <w:szCs w:val="22"/>
              </w:rPr>
              <w:t xml:space="preserve">TERMS OF </w:t>
            </w:r>
            <w:r w:rsidR="000E0FB1" w:rsidRPr="00E83345">
              <w:rPr>
                <w:rFonts w:ascii="Calibri" w:hAnsi="Calibri" w:cs="Calibri"/>
                <w:b/>
                <w:sz w:val="22"/>
                <w:szCs w:val="22"/>
              </w:rPr>
              <w:t>REFERENCE (</w:t>
            </w:r>
            <w:r w:rsidRPr="00E83345">
              <w:rPr>
                <w:rFonts w:ascii="Calibri" w:hAnsi="Calibri" w:cs="Calibri"/>
                <w:b/>
                <w:sz w:val="22"/>
                <w:szCs w:val="22"/>
              </w:rPr>
              <w:t>to be completed by Hiring Office)</w:t>
            </w:r>
          </w:p>
        </w:tc>
      </w:tr>
      <w:tr w:rsidR="00152E15" w:rsidRPr="00E83345" w14:paraId="1098F5C2" w14:textId="77777777" w:rsidTr="002871E4">
        <w:tblPrEx>
          <w:tblCellMar>
            <w:left w:w="148" w:type="dxa"/>
            <w:right w:w="148" w:type="dxa"/>
          </w:tblCellMar>
        </w:tblPrEx>
        <w:trPr>
          <w:trHeight w:val="399"/>
        </w:trPr>
        <w:tc>
          <w:tcPr>
            <w:tcW w:w="2790" w:type="dxa"/>
            <w:shd w:val="clear" w:color="auto" w:fill="auto"/>
          </w:tcPr>
          <w:p w14:paraId="4388A2B0" w14:textId="77777777" w:rsidR="00152E15" w:rsidRPr="00E83345" w:rsidRDefault="00152E15" w:rsidP="00685120">
            <w:pPr>
              <w:tabs>
                <w:tab w:val="left" w:pos="-720"/>
              </w:tabs>
              <w:suppressAutoHyphens/>
              <w:spacing w:before="40" w:after="54"/>
              <w:rPr>
                <w:rFonts w:ascii="Calibri" w:hAnsi="Calibri" w:cs="Calibri"/>
                <w:sz w:val="22"/>
                <w:szCs w:val="22"/>
              </w:rPr>
            </w:pPr>
            <w:r w:rsidRPr="00E83345">
              <w:rPr>
                <w:rFonts w:ascii="Calibri" w:hAnsi="Calibri" w:cs="Calibri"/>
                <w:sz w:val="22"/>
                <w:szCs w:val="22"/>
              </w:rPr>
              <w:t>Hiring Office:</w:t>
            </w:r>
          </w:p>
        </w:tc>
        <w:tc>
          <w:tcPr>
            <w:tcW w:w="7920" w:type="dxa"/>
            <w:shd w:val="clear" w:color="auto" w:fill="auto"/>
          </w:tcPr>
          <w:p w14:paraId="6BD62010" w14:textId="15EE7135" w:rsidR="00152E15" w:rsidRPr="00E83345" w:rsidRDefault="00152E15" w:rsidP="0096371A">
            <w:pPr>
              <w:tabs>
                <w:tab w:val="left" w:pos="-720"/>
              </w:tabs>
              <w:suppressAutoHyphens/>
              <w:spacing w:before="40" w:after="54"/>
              <w:rPr>
                <w:rFonts w:ascii="Calibri" w:hAnsi="Calibri" w:cs="Calibri"/>
                <w:sz w:val="22"/>
                <w:szCs w:val="22"/>
              </w:rPr>
            </w:pPr>
            <w:r w:rsidRPr="00E83345">
              <w:rPr>
                <w:rFonts w:ascii="Calibri" w:hAnsi="Calibri" w:cs="Calibri"/>
                <w:sz w:val="22"/>
                <w:szCs w:val="22"/>
              </w:rPr>
              <w:t xml:space="preserve">UNFPA </w:t>
            </w:r>
            <w:r w:rsidR="0096371A" w:rsidRPr="00E83345">
              <w:rPr>
                <w:rFonts w:ascii="Calibri" w:hAnsi="Calibri" w:cs="Calibri"/>
                <w:sz w:val="22"/>
                <w:szCs w:val="22"/>
              </w:rPr>
              <w:t>Turkmenistan</w:t>
            </w:r>
            <w:r w:rsidRPr="00E83345">
              <w:rPr>
                <w:rFonts w:ascii="Calibri" w:hAnsi="Calibri" w:cs="Calibri"/>
                <w:sz w:val="22"/>
                <w:szCs w:val="22"/>
              </w:rPr>
              <w:t xml:space="preserve"> </w:t>
            </w:r>
            <w:r w:rsidR="005D7E90" w:rsidRPr="00E83345">
              <w:rPr>
                <w:rFonts w:ascii="Calibri" w:hAnsi="Calibri" w:cs="Calibri"/>
                <w:sz w:val="22"/>
                <w:szCs w:val="22"/>
              </w:rPr>
              <w:t>CO</w:t>
            </w:r>
            <w:r w:rsidR="00470450">
              <w:rPr>
                <w:rFonts w:ascii="Calibri" w:hAnsi="Calibri" w:cs="Calibri"/>
                <w:sz w:val="22"/>
                <w:szCs w:val="22"/>
              </w:rPr>
              <w:t xml:space="preserve"> (as a lead agency)</w:t>
            </w:r>
          </w:p>
        </w:tc>
      </w:tr>
      <w:tr w:rsidR="005D7E90" w:rsidRPr="00E83345" w14:paraId="68926E67" w14:textId="77777777" w:rsidTr="002871E4">
        <w:tblPrEx>
          <w:tblCellMar>
            <w:left w:w="148" w:type="dxa"/>
            <w:right w:w="148" w:type="dxa"/>
          </w:tblCellMar>
        </w:tblPrEx>
        <w:tc>
          <w:tcPr>
            <w:tcW w:w="2790" w:type="dxa"/>
            <w:shd w:val="clear" w:color="auto" w:fill="auto"/>
          </w:tcPr>
          <w:p w14:paraId="4B3FCFC5" w14:textId="43943678" w:rsidR="005D7E90" w:rsidRPr="00E83345" w:rsidRDefault="005D7E90" w:rsidP="005D7E90">
            <w:pPr>
              <w:tabs>
                <w:tab w:val="left" w:pos="-720"/>
              </w:tabs>
              <w:suppressAutoHyphens/>
              <w:spacing w:before="40" w:after="54"/>
              <w:rPr>
                <w:rFonts w:ascii="Calibri" w:hAnsi="Calibri" w:cs="Calibri"/>
                <w:sz w:val="22"/>
                <w:szCs w:val="22"/>
              </w:rPr>
            </w:pPr>
            <w:r w:rsidRPr="00E83345">
              <w:rPr>
                <w:rFonts w:ascii="Calibri" w:hAnsi="Calibri" w:cs="Calibri"/>
                <w:sz w:val="22"/>
                <w:szCs w:val="22"/>
              </w:rPr>
              <w:t>Title:</w:t>
            </w:r>
          </w:p>
        </w:tc>
        <w:tc>
          <w:tcPr>
            <w:tcW w:w="7920" w:type="dxa"/>
            <w:shd w:val="clear" w:color="auto" w:fill="auto"/>
          </w:tcPr>
          <w:p w14:paraId="6A12A6B5" w14:textId="06D8EDA1" w:rsidR="005D7E90" w:rsidRPr="00E83345" w:rsidRDefault="005D7E90" w:rsidP="005D7E90">
            <w:pPr>
              <w:jc w:val="both"/>
              <w:rPr>
                <w:rFonts w:ascii="Calibri" w:hAnsi="Calibri" w:cs="Calibri"/>
                <w:sz w:val="22"/>
                <w:szCs w:val="22"/>
              </w:rPr>
            </w:pPr>
            <w:r w:rsidRPr="00E83345">
              <w:rPr>
                <w:rFonts w:ascii="Calibri" w:hAnsi="Calibri" w:cs="Calibri"/>
                <w:sz w:val="22"/>
                <w:szCs w:val="22"/>
              </w:rPr>
              <w:t>International Consultant to</w:t>
            </w:r>
            <w:r w:rsidR="00BD7AD7">
              <w:t xml:space="preserve"> </w:t>
            </w:r>
            <w:r w:rsidR="00BD7AD7" w:rsidRPr="00BD7AD7">
              <w:rPr>
                <w:rFonts w:ascii="Calibri" w:hAnsi="Calibri" w:cs="Calibri"/>
                <w:sz w:val="22"/>
                <w:szCs w:val="22"/>
              </w:rPr>
              <w:t>conduct</w:t>
            </w:r>
            <w:r w:rsidR="00BD7AD7" w:rsidRPr="007C0C3A">
              <w:rPr>
                <w:rFonts w:ascii="Calibri" w:hAnsi="Calibri" w:cs="Calibri"/>
                <w:sz w:val="22"/>
                <w:szCs w:val="22"/>
              </w:rPr>
              <w:t xml:space="preserve"> </w:t>
            </w:r>
            <w:r w:rsidR="007C0C3A" w:rsidRPr="007C0C3A">
              <w:rPr>
                <w:rFonts w:ascii="Calibri" w:hAnsi="Calibri" w:cs="Calibri"/>
                <w:sz w:val="22"/>
                <w:szCs w:val="22"/>
              </w:rPr>
              <w:t>final assessment of the Human Security Trust Fund Joint Programme (JP) on “Empowering and Engaging the Youth to Mitigate the Multi-Dimensional Threats of the Health Pandemic” of the Government of Turkmenistan and the UN</w:t>
            </w:r>
          </w:p>
        </w:tc>
      </w:tr>
      <w:tr w:rsidR="00152E15" w:rsidRPr="00E83345" w14:paraId="496FE55F" w14:textId="77777777" w:rsidTr="002871E4">
        <w:tblPrEx>
          <w:tblCellMar>
            <w:left w:w="148" w:type="dxa"/>
            <w:right w:w="148" w:type="dxa"/>
          </w:tblCellMar>
        </w:tblPrEx>
        <w:tc>
          <w:tcPr>
            <w:tcW w:w="2790" w:type="dxa"/>
            <w:shd w:val="clear" w:color="auto" w:fill="auto"/>
          </w:tcPr>
          <w:p w14:paraId="5718D556" w14:textId="7D097D31" w:rsidR="00152E15" w:rsidRPr="00E83345" w:rsidRDefault="007D2D91" w:rsidP="00685120">
            <w:pPr>
              <w:tabs>
                <w:tab w:val="left" w:pos="-720"/>
              </w:tabs>
              <w:suppressAutoHyphens/>
              <w:spacing w:before="40" w:after="54"/>
              <w:rPr>
                <w:rFonts w:ascii="Calibri" w:hAnsi="Calibri" w:cs="Calibri"/>
                <w:sz w:val="22"/>
                <w:szCs w:val="22"/>
              </w:rPr>
            </w:pPr>
            <w:r w:rsidRPr="00E83345">
              <w:rPr>
                <w:rFonts w:ascii="Calibri" w:hAnsi="Calibri" w:cs="Calibri"/>
                <w:sz w:val="22"/>
                <w:szCs w:val="22"/>
              </w:rPr>
              <w:t>Purpose of consultancy:</w:t>
            </w:r>
          </w:p>
        </w:tc>
        <w:tc>
          <w:tcPr>
            <w:tcW w:w="7920" w:type="dxa"/>
            <w:shd w:val="clear" w:color="auto" w:fill="auto"/>
          </w:tcPr>
          <w:p w14:paraId="2C0CE7A0" w14:textId="06E0848F" w:rsidR="00EF78F4" w:rsidRPr="00E83345" w:rsidRDefault="00025965" w:rsidP="002871E4">
            <w:pPr>
              <w:tabs>
                <w:tab w:val="left" w:pos="-720"/>
              </w:tabs>
              <w:suppressAutoHyphens/>
              <w:spacing w:after="120"/>
              <w:jc w:val="both"/>
              <w:rPr>
                <w:rFonts w:ascii="Calibri" w:hAnsi="Calibri" w:cs="Calibri"/>
                <w:sz w:val="22"/>
                <w:szCs w:val="22"/>
              </w:rPr>
            </w:pPr>
            <w:r w:rsidRPr="00E83345">
              <w:rPr>
                <w:rFonts w:ascii="Calibri" w:hAnsi="Calibri" w:cs="Calibri"/>
                <w:sz w:val="22"/>
                <w:szCs w:val="22"/>
              </w:rPr>
              <w:t>The Government of Turkmenistan with the support of the f</w:t>
            </w:r>
            <w:r w:rsidR="0081374C" w:rsidRPr="00E83345">
              <w:rPr>
                <w:rFonts w:ascii="Calibri" w:hAnsi="Calibri" w:cs="Calibri"/>
                <w:sz w:val="22"/>
                <w:szCs w:val="22"/>
              </w:rPr>
              <w:t>our UN agencies</w:t>
            </w:r>
            <w:r w:rsidRPr="00E83345">
              <w:rPr>
                <w:rFonts w:ascii="Calibri" w:hAnsi="Calibri" w:cs="Calibri"/>
                <w:sz w:val="22"/>
                <w:szCs w:val="22"/>
              </w:rPr>
              <w:t xml:space="preserve"> </w:t>
            </w:r>
            <w:r w:rsidR="00D75173">
              <w:rPr>
                <w:rFonts w:ascii="Calibri" w:hAnsi="Calibri" w:cs="Calibri"/>
                <w:sz w:val="22"/>
                <w:szCs w:val="22"/>
              </w:rPr>
              <w:t>–</w:t>
            </w:r>
            <w:r w:rsidR="0081374C" w:rsidRPr="00E83345">
              <w:rPr>
                <w:rFonts w:ascii="Calibri" w:hAnsi="Calibri" w:cs="Calibri"/>
                <w:sz w:val="22"/>
                <w:szCs w:val="22"/>
              </w:rPr>
              <w:t xml:space="preserve"> UNFPA</w:t>
            </w:r>
            <w:r w:rsidR="00D75173">
              <w:rPr>
                <w:rFonts w:ascii="Calibri" w:hAnsi="Calibri" w:cs="Calibri"/>
                <w:sz w:val="22"/>
                <w:szCs w:val="22"/>
              </w:rPr>
              <w:t xml:space="preserve"> (Administrative Agent)</w:t>
            </w:r>
            <w:r w:rsidR="0081374C" w:rsidRPr="00E83345">
              <w:rPr>
                <w:rFonts w:ascii="Calibri" w:hAnsi="Calibri" w:cs="Calibri"/>
                <w:sz w:val="22"/>
                <w:szCs w:val="22"/>
              </w:rPr>
              <w:t>, UNICEF, UNODC</w:t>
            </w:r>
            <w:r w:rsidR="00594132" w:rsidRPr="00E83345">
              <w:rPr>
                <w:rFonts w:ascii="Calibri" w:hAnsi="Calibri" w:cs="Calibri"/>
                <w:sz w:val="22"/>
                <w:szCs w:val="22"/>
              </w:rPr>
              <w:t>,</w:t>
            </w:r>
            <w:r w:rsidR="0081374C" w:rsidRPr="00E83345">
              <w:rPr>
                <w:rFonts w:ascii="Calibri" w:hAnsi="Calibri" w:cs="Calibri"/>
                <w:sz w:val="22"/>
                <w:szCs w:val="22"/>
              </w:rPr>
              <w:t xml:space="preserve"> and IOM</w:t>
            </w:r>
            <w:r w:rsidR="005D4140">
              <w:rPr>
                <w:rFonts w:ascii="Calibri" w:hAnsi="Calibri" w:cs="Calibri"/>
                <w:sz w:val="22"/>
                <w:szCs w:val="22"/>
              </w:rPr>
              <w:t xml:space="preserve">, </w:t>
            </w:r>
            <w:r w:rsidR="0081374C" w:rsidRPr="00E83345">
              <w:rPr>
                <w:rFonts w:ascii="Calibri" w:hAnsi="Calibri" w:cs="Calibri"/>
                <w:sz w:val="22"/>
                <w:szCs w:val="22"/>
              </w:rPr>
              <w:t xml:space="preserve">under the overall coordination of the </w:t>
            </w:r>
            <w:r w:rsidRPr="00E83345">
              <w:rPr>
                <w:rFonts w:ascii="Calibri" w:hAnsi="Calibri" w:cs="Calibri"/>
                <w:sz w:val="22"/>
                <w:szCs w:val="22"/>
              </w:rPr>
              <w:t>UN</w:t>
            </w:r>
            <w:r w:rsidR="0081374C" w:rsidRPr="00E83345">
              <w:rPr>
                <w:rFonts w:ascii="Calibri" w:hAnsi="Calibri" w:cs="Calibri"/>
                <w:sz w:val="22"/>
                <w:szCs w:val="22"/>
              </w:rPr>
              <w:t xml:space="preserve">RC </w:t>
            </w:r>
            <w:r w:rsidR="00D75173">
              <w:rPr>
                <w:rFonts w:ascii="Calibri" w:hAnsi="Calibri" w:cs="Calibri"/>
                <w:sz w:val="22"/>
                <w:szCs w:val="22"/>
              </w:rPr>
              <w:t>O</w:t>
            </w:r>
            <w:r w:rsidR="0081374C" w:rsidRPr="00E83345">
              <w:rPr>
                <w:rFonts w:ascii="Calibri" w:hAnsi="Calibri" w:cs="Calibri"/>
                <w:sz w:val="22"/>
                <w:szCs w:val="22"/>
              </w:rPr>
              <w:t xml:space="preserve">ffice </w:t>
            </w:r>
            <w:r w:rsidRPr="00E83345">
              <w:rPr>
                <w:rFonts w:ascii="Calibri" w:hAnsi="Calibri" w:cs="Calibri"/>
                <w:sz w:val="22"/>
                <w:szCs w:val="22"/>
              </w:rPr>
              <w:t xml:space="preserve">have </w:t>
            </w:r>
            <w:r w:rsidR="00231F3E">
              <w:rPr>
                <w:rFonts w:ascii="Calibri" w:hAnsi="Calibri" w:cs="Calibri"/>
                <w:sz w:val="22"/>
                <w:szCs w:val="22"/>
              </w:rPr>
              <w:t xml:space="preserve">been </w:t>
            </w:r>
            <w:r w:rsidRPr="00E83345">
              <w:rPr>
                <w:rFonts w:ascii="Calibri" w:hAnsi="Calibri" w:cs="Calibri"/>
                <w:sz w:val="22"/>
                <w:szCs w:val="22"/>
              </w:rPr>
              <w:t>implementi</w:t>
            </w:r>
            <w:r w:rsidR="00231F3E">
              <w:rPr>
                <w:rFonts w:ascii="Calibri" w:hAnsi="Calibri" w:cs="Calibri"/>
                <w:sz w:val="22"/>
                <w:szCs w:val="22"/>
              </w:rPr>
              <w:t>ng a</w:t>
            </w:r>
            <w:r w:rsidR="0081374C" w:rsidRPr="00E83345">
              <w:rPr>
                <w:rFonts w:ascii="Calibri" w:hAnsi="Calibri" w:cs="Calibri"/>
                <w:sz w:val="22"/>
                <w:szCs w:val="22"/>
              </w:rPr>
              <w:t xml:space="preserve"> </w:t>
            </w:r>
            <w:r w:rsidR="00CF6183">
              <w:rPr>
                <w:rFonts w:ascii="Calibri" w:hAnsi="Calibri" w:cs="Calibri"/>
                <w:sz w:val="22"/>
                <w:szCs w:val="22"/>
              </w:rPr>
              <w:t>J</w:t>
            </w:r>
            <w:r w:rsidR="0081374C" w:rsidRPr="00E83345">
              <w:rPr>
                <w:rFonts w:ascii="Calibri" w:hAnsi="Calibri" w:cs="Calibri"/>
                <w:sz w:val="22"/>
                <w:szCs w:val="22"/>
              </w:rPr>
              <w:t xml:space="preserve">oint </w:t>
            </w:r>
            <w:r w:rsidR="00CF6183">
              <w:rPr>
                <w:rFonts w:ascii="Calibri" w:hAnsi="Calibri" w:cs="Calibri"/>
                <w:sz w:val="22"/>
                <w:szCs w:val="22"/>
              </w:rPr>
              <w:t>P</w:t>
            </w:r>
            <w:r w:rsidR="0081374C" w:rsidRPr="00E83345">
              <w:rPr>
                <w:rFonts w:ascii="Calibri" w:hAnsi="Calibri" w:cs="Calibri"/>
                <w:sz w:val="22"/>
                <w:szCs w:val="22"/>
              </w:rPr>
              <w:t>rogramme</w:t>
            </w:r>
            <w:r w:rsidRPr="00E83345">
              <w:rPr>
                <w:rFonts w:ascii="Calibri" w:hAnsi="Calibri" w:cs="Calibri"/>
                <w:sz w:val="22"/>
                <w:szCs w:val="22"/>
              </w:rPr>
              <w:t xml:space="preserve"> (JP)</w:t>
            </w:r>
            <w:r w:rsidR="0081374C" w:rsidRPr="00E83345">
              <w:rPr>
                <w:rFonts w:ascii="Calibri" w:hAnsi="Calibri" w:cs="Calibri"/>
                <w:sz w:val="22"/>
                <w:szCs w:val="22"/>
              </w:rPr>
              <w:t xml:space="preserve"> on “Empowering and Engaging the Youth to Mitigate the Multi-Dimensional Threats of the Health Pandemic”</w:t>
            </w:r>
            <w:r w:rsidR="00EF78F4" w:rsidRPr="00E83345">
              <w:rPr>
                <w:rFonts w:ascii="Calibri" w:hAnsi="Calibri" w:cs="Calibri"/>
                <w:sz w:val="22"/>
                <w:szCs w:val="22"/>
              </w:rPr>
              <w:t xml:space="preserve"> while applying the concept of Human Security in the effective implementation of the S</w:t>
            </w:r>
            <w:r w:rsidR="00CF6183">
              <w:rPr>
                <w:rFonts w:ascii="Calibri" w:hAnsi="Calibri" w:cs="Calibri"/>
                <w:sz w:val="22"/>
                <w:szCs w:val="22"/>
              </w:rPr>
              <w:t>ocio-</w:t>
            </w:r>
            <w:r w:rsidR="00EF78F4" w:rsidRPr="00E83345">
              <w:rPr>
                <w:rFonts w:ascii="Calibri" w:hAnsi="Calibri" w:cs="Calibri"/>
                <w:sz w:val="22"/>
                <w:szCs w:val="22"/>
              </w:rPr>
              <w:t>E</w:t>
            </w:r>
            <w:r w:rsidR="00CF6183">
              <w:rPr>
                <w:rFonts w:ascii="Calibri" w:hAnsi="Calibri" w:cs="Calibri"/>
                <w:sz w:val="22"/>
                <w:szCs w:val="22"/>
              </w:rPr>
              <w:t xml:space="preserve">conomic </w:t>
            </w:r>
            <w:r w:rsidR="00EF78F4" w:rsidRPr="00E83345">
              <w:rPr>
                <w:rFonts w:ascii="Calibri" w:hAnsi="Calibri" w:cs="Calibri"/>
                <w:sz w:val="22"/>
                <w:szCs w:val="22"/>
              </w:rPr>
              <w:t>R</w:t>
            </w:r>
            <w:r w:rsidR="00CF6183">
              <w:rPr>
                <w:rFonts w:ascii="Calibri" w:hAnsi="Calibri" w:cs="Calibri"/>
                <w:sz w:val="22"/>
                <w:szCs w:val="22"/>
              </w:rPr>
              <w:t xml:space="preserve">esponse </w:t>
            </w:r>
            <w:r w:rsidR="00EF78F4" w:rsidRPr="00E83345">
              <w:rPr>
                <w:rFonts w:ascii="Calibri" w:hAnsi="Calibri" w:cs="Calibri"/>
                <w:sz w:val="22"/>
                <w:szCs w:val="22"/>
              </w:rPr>
              <w:t>P</w:t>
            </w:r>
            <w:r w:rsidR="00CF6183">
              <w:rPr>
                <w:rFonts w:ascii="Calibri" w:hAnsi="Calibri" w:cs="Calibri"/>
                <w:sz w:val="22"/>
                <w:szCs w:val="22"/>
              </w:rPr>
              <w:t>lan</w:t>
            </w:r>
            <w:r w:rsidR="00231F3E">
              <w:rPr>
                <w:rFonts w:ascii="Calibri" w:hAnsi="Calibri" w:cs="Calibri"/>
                <w:sz w:val="22"/>
                <w:szCs w:val="22"/>
              </w:rPr>
              <w:t xml:space="preserve"> since September 2021</w:t>
            </w:r>
            <w:r w:rsidR="0081374C" w:rsidRPr="00E83345">
              <w:rPr>
                <w:rFonts w:ascii="Calibri" w:hAnsi="Calibri" w:cs="Calibri"/>
                <w:sz w:val="22"/>
                <w:szCs w:val="22"/>
              </w:rPr>
              <w:t>.</w:t>
            </w:r>
            <w:r w:rsidRPr="00E83345">
              <w:rPr>
                <w:rFonts w:ascii="Calibri" w:hAnsi="Calibri" w:cs="Calibri"/>
                <w:sz w:val="22"/>
                <w:szCs w:val="22"/>
              </w:rPr>
              <w:t xml:space="preserve"> The JP is funded by the Human Security Trust Fund (HSTF) for the duration of 18 months. </w:t>
            </w:r>
          </w:p>
          <w:p w14:paraId="582A5CCB" w14:textId="35D59A1C" w:rsidR="0081374C" w:rsidRPr="00E83345" w:rsidRDefault="0081374C" w:rsidP="002871E4">
            <w:pPr>
              <w:tabs>
                <w:tab w:val="left" w:pos="-720"/>
              </w:tabs>
              <w:suppressAutoHyphens/>
              <w:spacing w:after="120"/>
              <w:jc w:val="both"/>
              <w:rPr>
                <w:rFonts w:ascii="Calibri" w:hAnsi="Calibri" w:cs="Calibri"/>
                <w:sz w:val="22"/>
                <w:szCs w:val="22"/>
              </w:rPr>
            </w:pPr>
            <w:r w:rsidRPr="00E83345">
              <w:rPr>
                <w:rFonts w:ascii="Calibri" w:hAnsi="Calibri" w:cs="Calibri"/>
                <w:sz w:val="22"/>
                <w:szCs w:val="22"/>
              </w:rPr>
              <w:t>As such, the overall goal of the JP is to empower and engage youth in facilitating the implementation of the Immediate Socio-Economic Response Plan to acute infectious disease pandemic (SERP) to mitigate the negative impact of the global pandemic on the socio-economic situation in Turkmenistan, with particular focus on the most vulnerable groups in line with the principle of “leaving no one behind”.</w:t>
            </w:r>
          </w:p>
          <w:p w14:paraId="0BCE5C12" w14:textId="3FCE4B7D" w:rsidR="0081374C" w:rsidRPr="00E83345" w:rsidRDefault="0081374C" w:rsidP="002871E4">
            <w:pPr>
              <w:tabs>
                <w:tab w:val="left" w:pos="-720"/>
              </w:tabs>
              <w:suppressAutoHyphens/>
              <w:spacing w:after="120"/>
              <w:jc w:val="both"/>
              <w:rPr>
                <w:rFonts w:ascii="Calibri" w:hAnsi="Calibri" w:cs="Calibri"/>
                <w:sz w:val="22"/>
                <w:szCs w:val="22"/>
              </w:rPr>
            </w:pPr>
            <w:r w:rsidRPr="00E83345">
              <w:rPr>
                <w:rFonts w:ascii="Calibri" w:hAnsi="Calibri" w:cs="Calibri"/>
                <w:sz w:val="22"/>
                <w:szCs w:val="22"/>
              </w:rPr>
              <w:t xml:space="preserve">The Joint Programme seeks to build the capacity of government officials </w:t>
            </w:r>
            <w:r w:rsidR="005A2699" w:rsidRPr="00E83345">
              <w:rPr>
                <w:rFonts w:ascii="Calibri" w:hAnsi="Calibri" w:cs="Calibri"/>
                <w:sz w:val="22"/>
                <w:szCs w:val="22"/>
              </w:rPr>
              <w:t xml:space="preserve">and CSOs </w:t>
            </w:r>
            <w:r w:rsidRPr="00E83345">
              <w:rPr>
                <w:rFonts w:ascii="Calibri" w:hAnsi="Calibri" w:cs="Calibri"/>
                <w:sz w:val="22"/>
                <w:szCs w:val="22"/>
              </w:rPr>
              <w:t>at the local level to implement SERP in their localities inspired by the human security approach in ways that are people</w:t>
            </w:r>
            <w:r w:rsidR="005A2699" w:rsidRPr="00E83345">
              <w:rPr>
                <w:rFonts w:ascii="Calibri" w:hAnsi="Calibri" w:cs="Calibri"/>
                <w:sz w:val="22"/>
                <w:szCs w:val="22"/>
              </w:rPr>
              <w:t>-</w:t>
            </w:r>
            <w:r w:rsidRPr="00E83345">
              <w:rPr>
                <w:rFonts w:ascii="Calibri" w:hAnsi="Calibri" w:cs="Calibri"/>
                <w:sz w:val="22"/>
                <w:szCs w:val="22"/>
              </w:rPr>
              <w:t xml:space="preserve">centred and comprehensive. In addition, the programme targets </w:t>
            </w:r>
            <w:r w:rsidR="005D4140">
              <w:rPr>
                <w:rFonts w:ascii="Calibri" w:hAnsi="Calibri" w:cs="Calibri"/>
                <w:sz w:val="22"/>
                <w:szCs w:val="22"/>
              </w:rPr>
              <w:t>young people</w:t>
            </w:r>
            <w:r w:rsidRPr="00E83345">
              <w:rPr>
                <w:rFonts w:ascii="Calibri" w:hAnsi="Calibri" w:cs="Calibri"/>
                <w:sz w:val="22"/>
                <w:szCs w:val="22"/>
              </w:rPr>
              <w:t xml:space="preserve"> in selected regions to build their resilience and </w:t>
            </w:r>
            <w:r w:rsidR="005A2699" w:rsidRPr="00E83345">
              <w:rPr>
                <w:rFonts w:ascii="Calibri" w:hAnsi="Calibri" w:cs="Calibri"/>
                <w:sz w:val="22"/>
                <w:szCs w:val="22"/>
              </w:rPr>
              <w:t xml:space="preserve">support </w:t>
            </w:r>
            <w:r w:rsidRPr="00E83345">
              <w:rPr>
                <w:rFonts w:ascii="Calibri" w:hAnsi="Calibri" w:cs="Calibri"/>
                <w:sz w:val="22"/>
                <w:szCs w:val="22"/>
              </w:rPr>
              <w:t xml:space="preserve">them </w:t>
            </w:r>
            <w:r w:rsidR="005A2699" w:rsidRPr="00E83345">
              <w:rPr>
                <w:rFonts w:ascii="Calibri" w:hAnsi="Calibri" w:cs="Calibri"/>
                <w:sz w:val="22"/>
                <w:szCs w:val="22"/>
              </w:rPr>
              <w:t xml:space="preserve">as </w:t>
            </w:r>
            <w:r w:rsidRPr="00E83345">
              <w:rPr>
                <w:rFonts w:ascii="Calibri" w:hAnsi="Calibri" w:cs="Calibri"/>
                <w:sz w:val="22"/>
                <w:szCs w:val="22"/>
              </w:rPr>
              <w:t>agents of change in their communities.</w:t>
            </w:r>
          </w:p>
          <w:p w14:paraId="7AB34105" w14:textId="77777777" w:rsidR="0081374C" w:rsidRPr="00E83345" w:rsidRDefault="0081374C" w:rsidP="002871E4">
            <w:pPr>
              <w:tabs>
                <w:tab w:val="left" w:pos="-720"/>
              </w:tabs>
              <w:suppressAutoHyphens/>
              <w:spacing w:after="120"/>
              <w:jc w:val="both"/>
              <w:rPr>
                <w:rFonts w:ascii="Calibri" w:hAnsi="Calibri" w:cs="Calibri"/>
                <w:sz w:val="22"/>
                <w:szCs w:val="22"/>
              </w:rPr>
            </w:pPr>
            <w:r w:rsidRPr="00E83345">
              <w:rPr>
                <w:rFonts w:ascii="Calibri" w:hAnsi="Calibri" w:cs="Calibri"/>
                <w:sz w:val="22"/>
                <w:szCs w:val="22"/>
              </w:rPr>
              <w:t>There are two objectives of the JP:</w:t>
            </w:r>
          </w:p>
          <w:p w14:paraId="49D25813" w14:textId="77777777" w:rsidR="0081374C" w:rsidRPr="00E83345" w:rsidRDefault="0081374C" w:rsidP="002871E4">
            <w:pPr>
              <w:tabs>
                <w:tab w:val="left" w:pos="-720"/>
              </w:tabs>
              <w:suppressAutoHyphens/>
              <w:spacing w:after="120"/>
              <w:jc w:val="both"/>
              <w:rPr>
                <w:rFonts w:ascii="Calibri" w:hAnsi="Calibri" w:cs="Calibri"/>
                <w:sz w:val="22"/>
                <w:szCs w:val="22"/>
              </w:rPr>
            </w:pPr>
            <w:r w:rsidRPr="00E83345">
              <w:rPr>
                <w:rFonts w:ascii="Calibri" w:hAnsi="Calibri" w:cs="Calibri"/>
                <w:sz w:val="22"/>
                <w:szCs w:val="22"/>
              </w:rPr>
              <w:t>1. Enhancing the capacity of relevant state bodies and public organizations, including at national and regional levels, to apply the concept of Human Security in the effective implementation of the SERP in order to protect the population against the multi-dimensional risks of the pandemic while engaging young people in inclusive decision-making platforms and processes.</w:t>
            </w:r>
          </w:p>
          <w:p w14:paraId="2589A31A" w14:textId="61820D16" w:rsidR="0081374C" w:rsidRDefault="0081374C" w:rsidP="002871E4">
            <w:pPr>
              <w:tabs>
                <w:tab w:val="left" w:pos="-720"/>
              </w:tabs>
              <w:suppressAutoHyphens/>
              <w:spacing w:after="120"/>
              <w:jc w:val="both"/>
              <w:rPr>
                <w:rFonts w:ascii="Calibri" w:hAnsi="Calibri" w:cs="Calibri"/>
                <w:sz w:val="22"/>
                <w:szCs w:val="22"/>
              </w:rPr>
            </w:pPr>
            <w:r w:rsidRPr="00E83345">
              <w:rPr>
                <w:rFonts w:ascii="Calibri" w:hAnsi="Calibri" w:cs="Calibri"/>
                <w:sz w:val="22"/>
                <w:szCs w:val="22"/>
              </w:rPr>
              <w:t>2. Empowering the youth through enhancing awareness, capacities and skills to build social partnership with local authorities in the implementation of the SERP and enabling their engagement in social initiatives in line with the Human Security approach.</w:t>
            </w:r>
          </w:p>
          <w:p w14:paraId="553CE37A" w14:textId="1BEF9B09" w:rsidR="004A168B" w:rsidRPr="00E83345" w:rsidRDefault="004A168B" w:rsidP="00DF2A78">
            <w:pPr>
              <w:spacing w:after="120"/>
              <w:jc w:val="both"/>
              <w:rPr>
                <w:rFonts w:ascii="Calibri" w:hAnsi="Calibri" w:cs="Calibri"/>
                <w:sz w:val="22"/>
                <w:szCs w:val="22"/>
              </w:rPr>
            </w:pPr>
            <w:r w:rsidRPr="00DF2A78">
              <w:rPr>
                <w:rFonts w:ascii="Calibri" w:hAnsi="Calibri" w:cs="Calibri"/>
                <w:sz w:val="22"/>
                <w:szCs w:val="22"/>
              </w:rPr>
              <w:t>The JP addresses the seven insecurities in the selected communities including economical and employment related, environment and climate change related, personal insecurity, including gender equality, gender-based violence and empowerment of women and girls, health security including healthcare, reproductive health and reproductive rights; food security, as well as community security to avoid discrimination and marginalization of population as well as political insecurity providing opportunities for inclusive participation of all community members in decision making process. This focus is compliant with the SDGs 1, 3, 4, 5, 8, 10, 15 and 16 of the 2030 Agenda for Sustainable Development and LNOB principle.</w:t>
            </w:r>
          </w:p>
          <w:p w14:paraId="2399D240" w14:textId="41FA5EEB" w:rsidR="0081374C" w:rsidRDefault="00231F3E" w:rsidP="007D2D91">
            <w:pPr>
              <w:spacing w:after="120"/>
              <w:jc w:val="both"/>
              <w:rPr>
                <w:rFonts w:ascii="Calibri" w:hAnsi="Calibri" w:cs="Calibri"/>
                <w:sz w:val="22"/>
                <w:szCs w:val="22"/>
              </w:rPr>
            </w:pPr>
            <w:r>
              <w:rPr>
                <w:rFonts w:ascii="Calibri" w:hAnsi="Calibri" w:cs="Calibri"/>
                <w:sz w:val="22"/>
                <w:szCs w:val="22"/>
              </w:rPr>
              <w:t xml:space="preserve">Four community initiatives are </w:t>
            </w:r>
            <w:r w:rsidR="00883FE7">
              <w:rPr>
                <w:rFonts w:ascii="Calibri" w:hAnsi="Calibri" w:cs="Calibri"/>
                <w:sz w:val="22"/>
                <w:szCs w:val="22"/>
              </w:rPr>
              <w:t>being</w:t>
            </w:r>
            <w:r>
              <w:rPr>
                <w:rFonts w:ascii="Calibri" w:hAnsi="Calibri" w:cs="Calibri"/>
                <w:sz w:val="22"/>
                <w:szCs w:val="22"/>
              </w:rPr>
              <w:t xml:space="preserve"> implemented by the </w:t>
            </w:r>
            <w:r w:rsidR="007C0C3A">
              <w:rPr>
                <w:rFonts w:ascii="Calibri" w:hAnsi="Calibri" w:cs="Calibri"/>
                <w:sz w:val="22"/>
                <w:szCs w:val="22"/>
              </w:rPr>
              <w:t>Youth Reference Groups</w:t>
            </w:r>
            <w:r>
              <w:rPr>
                <w:rFonts w:ascii="Calibri" w:hAnsi="Calibri" w:cs="Calibri"/>
                <w:sz w:val="22"/>
                <w:szCs w:val="22"/>
              </w:rPr>
              <w:t xml:space="preserve"> </w:t>
            </w:r>
            <w:r w:rsidR="007C0C3A">
              <w:rPr>
                <w:rFonts w:ascii="Calibri" w:hAnsi="Calibri" w:cs="Calibri"/>
                <w:sz w:val="22"/>
                <w:szCs w:val="22"/>
              </w:rPr>
              <w:t xml:space="preserve">that was formed </w:t>
            </w:r>
            <w:r>
              <w:rPr>
                <w:rFonts w:ascii="Calibri" w:hAnsi="Calibri" w:cs="Calibri"/>
                <w:sz w:val="22"/>
                <w:szCs w:val="22"/>
              </w:rPr>
              <w:t xml:space="preserve">in two selected localities: Dashoguz and Lebap </w:t>
            </w:r>
            <w:r w:rsidR="00CF6183">
              <w:rPr>
                <w:rFonts w:ascii="Calibri" w:hAnsi="Calibri" w:cs="Calibri"/>
                <w:sz w:val="22"/>
                <w:szCs w:val="22"/>
              </w:rPr>
              <w:t xml:space="preserve">regions </w:t>
            </w:r>
            <w:r>
              <w:rPr>
                <w:rFonts w:ascii="Calibri" w:hAnsi="Calibri" w:cs="Calibri"/>
                <w:sz w:val="22"/>
                <w:szCs w:val="22"/>
              </w:rPr>
              <w:t xml:space="preserve">during the </w:t>
            </w:r>
            <w:r w:rsidR="00CF6183">
              <w:rPr>
                <w:rFonts w:ascii="Calibri" w:hAnsi="Calibri" w:cs="Calibri"/>
                <w:sz w:val="22"/>
                <w:szCs w:val="22"/>
              </w:rPr>
              <w:lastRenderedPageBreak/>
              <w:t xml:space="preserve">period </w:t>
            </w:r>
            <w:r>
              <w:rPr>
                <w:rFonts w:ascii="Calibri" w:hAnsi="Calibri" w:cs="Calibri"/>
                <w:sz w:val="22"/>
                <w:szCs w:val="22"/>
              </w:rPr>
              <w:t xml:space="preserve">of the JP. </w:t>
            </w:r>
            <w:r w:rsidR="007C0C3A">
              <w:rPr>
                <w:rFonts w:ascii="Calibri" w:hAnsi="Calibri" w:cs="Calibri"/>
                <w:sz w:val="22"/>
                <w:szCs w:val="22"/>
              </w:rPr>
              <w:t xml:space="preserve">To successfully implement the community initiatives the Youth Reference Group was trained on </w:t>
            </w:r>
            <w:r w:rsidR="00CF6183">
              <w:rPr>
                <w:rFonts w:ascii="Calibri" w:hAnsi="Calibri" w:cs="Calibri"/>
                <w:sz w:val="22"/>
                <w:szCs w:val="22"/>
              </w:rPr>
              <w:t xml:space="preserve">human security approaches, </w:t>
            </w:r>
            <w:r w:rsidR="004A168B">
              <w:rPr>
                <w:rFonts w:ascii="Calibri" w:hAnsi="Calibri" w:cs="Calibri"/>
                <w:sz w:val="22"/>
                <w:szCs w:val="22"/>
              </w:rPr>
              <w:t>results-based</w:t>
            </w:r>
            <w:r w:rsidR="00CF6183">
              <w:rPr>
                <w:rFonts w:ascii="Calibri" w:hAnsi="Calibri" w:cs="Calibri"/>
                <w:sz w:val="22"/>
                <w:szCs w:val="22"/>
              </w:rPr>
              <w:t xml:space="preserve"> management</w:t>
            </w:r>
            <w:r>
              <w:rPr>
                <w:rFonts w:ascii="Calibri" w:hAnsi="Calibri" w:cs="Calibri"/>
                <w:sz w:val="22"/>
                <w:szCs w:val="22"/>
              </w:rPr>
              <w:t>, working with community, community mapping and other tools</w:t>
            </w:r>
            <w:r w:rsidR="0081374C" w:rsidRPr="00E83345">
              <w:rPr>
                <w:rFonts w:ascii="Calibri" w:hAnsi="Calibri" w:cs="Calibri"/>
                <w:sz w:val="22"/>
                <w:szCs w:val="22"/>
              </w:rPr>
              <w:t>.</w:t>
            </w:r>
            <w:r w:rsidR="007C0C3A">
              <w:rPr>
                <w:rFonts w:ascii="Calibri" w:hAnsi="Calibri" w:cs="Calibri"/>
                <w:sz w:val="22"/>
                <w:szCs w:val="22"/>
              </w:rPr>
              <w:t xml:space="preserve"> This experience will serve as a potential to further build a mechanism </w:t>
            </w:r>
            <w:r w:rsidR="002A4B8C">
              <w:rPr>
                <w:rFonts w:ascii="Calibri" w:hAnsi="Calibri" w:cs="Calibri"/>
                <w:sz w:val="22"/>
                <w:szCs w:val="22"/>
              </w:rPr>
              <w:t xml:space="preserve">of youth participation </w:t>
            </w:r>
            <w:r w:rsidR="007C0C3A">
              <w:rPr>
                <w:rFonts w:ascii="Calibri" w:hAnsi="Calibri" w:cs="Calibri"/>
                <w:sz w:val="22"/>
                <w:szCs w:val="22"/>
              </w:rPr>
              <w:t xml:space="preserve">in the implementation of the Youth programme. </w:t>
            </w:r>
          </w:p>
          <w:p w14:paraId="6C2E82A8" w14:textId="285823CB" w:rsidR="00231F3E" w:rsidRDefault="00BD7AD7" w:rsidP="00BD7AD7">
            <w:pPr>
              <w:spacing w:after="120"/>
              <w:jc w:val="both"/>
              <w:rPr>
                <w:rFonts w:ascii="Calibri" w:hAnsi="Calibri" w:cs="Calibri"/>
                <w:sz w:val="22"/>
                <w:szCs w:val="22"/>
              </w:rPr>
            </w:pPr>
            <w:r w:rsidRPr="00BD7AD7">
              <w:rPr>
                <w:rFonts w:ascii="Calibri" w:hAnsi="Calibri" w:cs="Calibri"/>
                <w:sz w:val="22"/>
                <w:szCs w:val="22"/>
              </w:rPr>
              <w:t xml:space="preserve">After </w:t>
            </w:r>
            <w:r w:rsidR="00231F3E">
              <w:rPr>
                <w:rFonts w:ascii="Calibri" w:hAnsi="Calibri" w:cs="Calibri"/>
                <w:sz w:val="22"/>
                <w:szCs w:val="22"/>
                <w:lang w:val="en-US"/>
              </w:rPr>
              <w:t>the</w:t>
            </w:r>
            <w:r w:rsidRPr="00DF2A78">
              <w:rPr>
                <w:rFonts w:ascii="Calibri" w:hAnsi="Calibri" w:cs="Calibri"/>
                <w:sz w:val="22"/>
                <w:szCs w:val="22"/>
                <w:lang w:val="en-US"/>
              </w:rPr>
              <w:t xml:space="preserve"> </w:t>
            </w:r>
            <w:r w:rsidRPr="00BD7AD7">
              <w:rPr>
                <w:rFonts w:ascii="Calibri" w:hAnsi="Calibri" w:cs="Calibri"/>
                <w:sz w:val="22"/>
                <w:szCs w:val="22"/>
              </w:rPr>
              <w:t>comp</w:t>
            </w:r>
            <w:r w:rsidR="00231F3E">
              <w:rPr>
                <w:rFonts w:ascii="Calibri" w:hAnsi="Calibri" w:cs="Calibri"/>
                <w:sz w:val="22"/>
                <w:szCs w:val="22"/>
              </w:rPr>
              <w:t>l</w:t>
            </w:r>
            <w:r w:rsidRPr="00BD7AD7">
              <w:rPr>
                <w:rFonts w:ascii="Calibri" w:hAnsi="Calibri" w:cs="Calibri"/>
                <w:sz w:val="22"/>
                <w:szCs w:val="22"/>
              </w:rPr>
              <w:t xml:space="preserve">etion of a Joint Programme, a final, independent assessment </w:t>
            </w:r>
            <w:r>
              <w:rPr>
                <w:rFonts w:ascii="Calibri" w:hAnsi="Calibri" w:cs="Calibri"/>
                <w:sz w:val="22"/>
                <w:szCs w:val="22"/>
                <w:lang w:val="en-US"/>
              </w:rPr>
              <w:t xml:space="preserve">is planned to </w:t>
            </w:r>
            <w:r w:rsidRPr="00BD7AD7">
              <w:rPr>
                <w:rFonts w:ascii="Calibri" w:hAnsi="Calibri" w:cs="Calibri"/>
                <w:sz w:val="22"/>
                <w:szCs w:val="22"/>
              </w:rPr>
              <w:t xml:space="preserve">be organized by UNFPA as a lead agency in consultation with the Technical Working Group of the HSTF Joint Programme and UN Programme Management Board. </w:t>
            </w:r>
          </w:p>
          <w:p w14:paraId="2D953541" w14:textId="17330FDA" w:rsidR="00231F3E" w:rsidRDefault="00231F3E" w:rsidP="00BD7AD7">
            <w:pPr>
              <w:spacing w:after="120"/>
              <w:jc w:val="both"/>
              <w:rPr>
                <w:rFonts w:ascii="Calibri" w:hAnsi="Calibri" w:cs="Calibri"/>
                <w:sz w:val="22"/>
                <w:szCs w:val="22"/>
              </w:rPr>
            </w:pPr>
            <w:r w:rsidRPr="00231F3E">
              <w:rPr>
                <w:rFonts w:ascii="Calibri" w:hAnsi="Calibri" w:cs="Calibri"/>
                <w:sz w:val="22"/>
                <w:szCs w:val="22"/>
              </w:rPr>
              <w:t xml:space="preserve">The main purpose of the </w:t>
            </w:r>
            <w:r>
              <w:rPr>
                <w:rFonts w:ascii="Calibri" w:hAnsi="Calibri" w:cs="Calibri"/>
                <w:sz w:val="22"/>
                <w:szCs w:val="22"/>
              </w:rPr>
              <w:t>assessment</w:t>
            </w:r>
            <w:r w:rsidRPr="00231F3E">
              <w:rPr>
                <w:rFonts w:ascii="Calibri" w:hAnsi="Calibri" w:cs="Calibri"/>
                <w:sz w:val="22"/>
                <w:szCs w:val="22"/>
              </w:rPr>
              <w:t xml:space="preserve"> is to generate evidence-based knowledge by identifying good practices and lessons learned from the implementation of the JP. The </w:t>
            </w:r>
            <w:r>
              <w:rPr>
                <w:rFonts w:ascii="Calibri" w:hAnsi="Calibri" w:cs="Calibri"/>
                <w:sz w:val="22"/>
                <w:szCs w:val="22"/>
              </w:rPr>
              <w:t>assessment</w:t>
            </w:r>
            <w:r w:rsidRPr="00231F3E">
              <w:rPr>
                <w:rFonts w:ascii="Calibri" w:hAnsi="Calibri" w:cs="Calibri"/>
                <w:sz w:val="22"/>
                <w:szCs w:val="22"/>
              </w:rPr>
              <w:t xml:space="preserve"> findings and recommendations will also inform the update of the UN Common Country Analysis, and potentially SDG-related progress reports or other situation analyses.</w:t>
            </w:r>
          </w:p>
          <w:p w14:paraId="7B1D28CE" w14:textId="2145A236" w:rsidR="00BD7AD7" w:rsidRPr="00BD7AD7" w:rsidRDefault="00BD7AD7" w:rsidP="00BD7AD7">
            <w:pPr>
              <w:spacing w:after="120"/>
              <w:jc w:val="both"/>
              <w:rPr>
                <w:rFonts w:ascii="Calibri" w:hAnsi="Calibri" w:cs="Calibri"/>
                <w:sz w:val="22"/>
                <w:szCs w:val="22"/>
              </w:rPr>
            </w:pPr>
            <w:r w:rsidRPr="00BD7AD7">
              <w:rPr>
                <w:rFonts w:ascii="Calibri" w:hAnsi="Calibri" w:cs="Calibri"/>
                <w:sz w:val="22"/>
                <w:szCs w:val="22"/>
              </w:rPr>
              <w:t xml:space="preserve">The JP assessment process will be participative and will involve all relevant programme’s stakeholders and partners. The JP assessment results will be disseminated amongst relevant parties. </w:t>
            </w:r>
          </w:p>
          <w:p w14:paraId="28B361B8" w14:textId="77777777" w:rsidR="00BD7AD7" w:rsidRPr="00BD7AD7" w:rsidRDefault="00BD7AD7" w:rsidP="00BD7AD7">
            <w:pPr>
              <w:spacing w:after="120"/>
              <w:jc w:val="both"/>
              <w:rPr>
                <w:rFonts w:ascii="Calibri" w:hAnsi="Calibri" w:cs="Calibri"/>
                <w:sz w:val="22"/>
                <w:szCs w:val="22"/>
              </w:rPr>
            </w:pPr>
            <w:r w:rsidRPr="00BD7AD7">
              <w:rPr>
                <w:rFonts w:ascii="Calibri" w:hAnsi="Calibri" w:cs="Calibri"/>
                <w:sz w:val="22"/>
                <w:szCs w:val="22"/>
              </w:rPr>
              <w:t xml:space="preserve">The assessment will be carried out by an external independent assessor remotely (home-based online deskwork) with the support of all of the participating UN Organizations. The UN Agencies gained strong experience in conducting assessments by online means in the context of limitations because of the pandemic. </w:t>
            </w:r>
          </w:p>
          <w:p w14:paraId="2C2E91D9" w14:textId="6344B8B8" w:rsidR="00BD7AD7" w:rsidRPr="00E83345" w:rsidRDefault="00BD7AD7" w:rsidP="00BD7AD7">
            <w:pPr>
              <w:spacing w:after="120"/>
              <w:jc w:val="both"/>
              <w:rPr>
                <w:rFonts w:ascii="Calibri" w:hAnsi="Calibri" w:cs="Calibri"/>
                <w:sz w:val="22"/>
                <w:szCs w:val="22"/>
              </w:rPr>
            </w:pPr>
            <w:r w:rsidRPr="00BD7AD7">
              <w:rPr>
                <w:rFonts w:ascii="Calibri" w:hAnsi="Calibri" w:cs="Calibri"/>
                <w:sz w:val="22"/>
                <w:szCs w:val="22"/>
              </w:rPr>
              <w:t xml:space="preserve">The assessment </w:t>
            </w:r>
            <w:r w:rsidR="004A168B" w:rsidRPr="00DF2A78">
              <w:rPr>
                <w:rFonts w:ascii="Calibri" w:hAnsi="Calibri" w:cs="Calibri"/>
                <w:sz w:val="22"/>
                <w:szCs w:val="22"/>
              </w:rPr>
              <w:t xml:space="preserve">will be conducted by the end of the UN JP </w:t>
            </w:r>
            <w:r w:rsidRPr="00BD7AD7">
              <w:rPr>
                <w:rFonts w:ascii="Calibri" w:hAnsi="Calibri" w:cs="Calibri"/>
                <w:sz w:val="22"/>
                <w:szCs w:val="22"/>
              </w:rPr>
              <w:t xml:space="preserve">will assess and </w:t>
            </w:r>
            <w:r w:rsidR="004A168B" w:rsidRPr="00BD7AD7">
              <w:rPr>
                <w:rFonts w:ascii="Calibri" w:hAnsi="Calibri" w:cs="Calibri"/>
                <w:sz w:val="22"/>
                <w:szCs w:val="22"/>
              </w:rPr>
              <w:t>analyse</w:t>
            </w:r>
            <w:r w:rsidRPr="00BD7AD7">
              <w:rPr>
                <w:rFonts w:ascii="Calibri" w:hAnsi="Calibri" w:cs="Calibri"/>
                <w:sz w:val="22"/>
                <w:szCs w:val="22"/>
              </w:rPr>
              <w:t xml:space="preserve"> the achievements and results of the programme, overall project management and key lessons learned</w:t>
            </w:r>
            <w:r w:rsidR="004A168B">
              <w:rPr>
                <w:rFonts w:ascii="Calibri" w:hAnsi="Calibri" w:cs="Calibri"/>
                <w:sz w:val="22"/>
                <w:szCs w:val="22"/>
              </w:rPr>
              <w:t xml:space="preserve">, </w:t>
            </w:r>
            <w:r w:rsidRPr="00BD7AD7">
              <w:rPr>
                <w:rFonts w:ascii="Calibri" w:hAnsi="Calibri" w:cs="Calibri"/>
                <w:sz w:val="22"/>
                <w:szCs w:val="22"/>
              </w:rPr>
              <w:t>including examples of best practices for future</w:t>
            </w:r>
            <w:r w:rsidR="004A168B">
              <w:rPr>
                <w:rFonts w:ascii="Calibri" w:hAnsi="Calibri" w:cs="Calibri"/>
                <w:sz w:val="22"/>
                <w:szCs w:val="22"/>
              </w:rPr>
              <w:t xml:space="preserve"> and strategic level recommendations for potential scale up and sustainability of the results</w:t>
            </w:r>
            <w:r w:rsidRPr="00BD7AD7">
              <w:rPr>
                <w:rFonts w:ascii="Calibri" w:hAnsi="Calibri" w:cs="Calibri"/>
                <w:sz w:val="22"/>
                <w:szCs w:val="22"/>
              </w:rPr>
              <w:t>. The results of the assessment will be presented to the Programme’s Steering Committee and subsequently incorporated into the Final Consolidated narrative report.</w:t>
            </w:r>
          </w:p>
          <w:p w14:paraId="3B548402" w14:textId="77777777" w:rsidR="004A168B" w:rsidRPr="00D041F8" w:rsidRDefault="007D2D91" w:rsidP="00452EAF">
            <w:pPr>
              <w:spacing w:after="120"/>
              <w:jc w:val="both"/>
              <w:rPr>
                <w:rFonts w:ascii="Calibri" w:hAnsi="Calibri" w:cs="Calibri"/>
                <w:sz w:val="22"/>
                <w:szCs w:val="22"/>
              </w:rPr>
            </w:pPr>
            <w:r w:rsidRPr="00E83345">
              <w:rPr>
                <w:rFonts w:ascii="Calibri" w:hAnsi="Calibri" w:cs="Calibri"/>
                <w:sz w:val="22"/>
                <w:szCs w:val="22"/>
              </w:rPr>
              <w:t>The overall purpose of this consultancy is to</w:t>
            </w:r>
            <w:r w:rsidR="00BD7AD7" w:rsidRPr="00BD7AD7">
              <w:rPr>
                <w:rFonts w:ascii="Calibri" w:hAnsi="Calibri" w:cs="Calibri"/>
                <w:sz w:val="22"/>
                <w:szCs w:val="22"/>
              </w:rPr>
              <w:t xml:space="preserve"> conduct Final Independent Assessment </w:t>
            </w:r>
            <w:r w:rsidR="00BD7AD7" w:rsidRPr="00D041F8">
              <w:rPr>
                <w:rFonts w:ascii="Calibri" w:hAnsi="Calibri" w:cs="Calibri"/>
                <w:sz w:val="22"/>
                <w:szCs w:val="22"/>
              </w:rPr>
              <w:t>of the joint programme (JP) on “Empowering and Engaging the Youth to Mitigate the Multi-Dimensional Threats of the Health Pandemic”</w:t>
            </w:r>
            <w:bookmarkStart w:id="1" w:name="_Hlk84933492"/>
            <w:r w:rsidRPr="00D041F8">
              <w:rPr>
                <w:rFonts w:ascii="Calibri" w:hAnsi="Calibri" w:cs="Calibri"/>
                <w:sz w:val="22"/>
                <w:szCs w:val="22"/>
              </w:rPr>
              <w:t>.</w:t>
            </w:r>
            <w:bookmarkEnd w:id="1"/>
          </w:p>
          <w:p w14:paraId="0753DE80" w14:textId="309DF59F" w:rsidR="00452EAF" w:rsidRPr="00D041F8" w:rsidRDefault="00452EAF" w:rsidP="00452EAF">
            <w:pPr>
              <w:spacing w:after="120"/>
              <w:contextualSpacing/>
              <w:jc w:val="both"/>
              <w:rPr>
                <w:rFonts w:asciiTheme="minorHAnsi" w:hAnsiTheme="minorHAnsi" w:cstheme="minorHAnsi"/>
                <w:sz w:val="22"/>
                <w:szCs w:val="22"/>
                <w:lang w:val="en-US"/>
              </w:rPr>
            </w:pPr>
            <w:r w:rsidRPr="00D041F8">
              <w:rPr>
                <w:rFonts w:asciiTheme="minorHAnsi" w:hAnsiTheme="minorHAnsi" w:cstheme="minorHAnsi"/>
                <w:sz w:val="22"/>
                <w:szCs w:val="22"/>
                <w:lang w:val="en-US"/>
              </w:rPr>
              <w:t>The main objectives of the assessment are:</w:t>
            </w:r>
          </w:p>
          <w:p w14:paraId="378B81E8" w14:textId="053C6F63" w:rsidR="00452EAF" w:rsidRPr="00D041F8" w:rsidRDefault="00452EAF" w:rsidP="00452EAF">
            <w:pPr>
              <w:pStyle w:val="ListParagraph"/>
              <w:numPr>
                <w:ilvl w:val="0"/>
                <w:numId w:val="11"/>
              </w:numPr>
              <w:spacing w:after="120"/>
              <w:contextualSpacing/>
              <w:jc w:val="both"/>
              <w:rPr>
                <w:rFonts w:asciiTheme="minorHAnsi" w:hAnsiTheme="minorHAnsi" w:cstheme="minorHAnsi"/>
                <w:sz w:val="22"/>
                <w:szCs w:val="22"/>
              </w:rPr>
            </w:pPr>
            <w:r w:rsidRPr="00D041F8">
              <w:rPr>
                <w:rFonts w:asciiTheme="minorHAnsi" w:hAnsiTheme="minorHAnsi" w:cstheme="minorHAnsi"/>
                <w:sz w:val="22"/>
                <w:szCs w:val="22"/>
              </w:rPr>
              <w:t xml:space="preserve">Assess the relevance, efficiency, effectiveness, sustainability, coherence and, to the extent possible the potential impact of the Joint Programme </w:t>
            </w:r>
          </w:p>
          <w:p w14:paraId="7E037DF7" w14:textId="53C35450" w:rsidR="00452EAF" w:rsidRPr="00D041F8" w:rsidRDefault="00452EAF" w:rsidP="00452EAF">
            <w:pPr>
              <w:pStyle w:val="ListParagraph"/>
              <w:numPr>
                <w:ilvl w:val="0"/>
                <w:numId w:val="11"/>
              </w:numPr>
              <w:spacing w:after="120"/>
              <w:contextualSpacing/>
              <w:jc w:val="both"/>
              <w:rPr>
                <w:rFonts w:asciiTheme="minorHAnsi" w:hAnsiTheme="minorHAnsi" w:cstheme="minorHAnsi"/>
                <w:sz w:val="22"/>
                <w:szCs w:val="22"/>
              </w:rPr>
            </w:pPr>
            <w:r w:rsidRPr="00D041F8">
              <w:rPr>
                <w:rFonts w:asciiTheme="minorHAnsi" w:hAnsiTheme="minorHAnsi" w:cstheme="minorHAnsi"/>
                <w:sz w:val="22"/>
                <w:szCs w:val="22"/>
              </w:rPr>
              <w:t>Assess the role of the Joint Programme in increasing the awareness about the human security approach among key stakeholders - decisions makers, local authorities and beneficiaries - youth in the selected communities and building the capacity of the young people through their empowerment in contributing to the resil</w:t>
            </w:r>
            <w:r w:rsidR="00D143D2">
              <w:rPr>
                <w:rFonts w:asciiTheme="minorHAnsi" w:hAnsiTheme="minorHAnsi" w:cstheme="minorHAnsi"/>
                <w:sz w:val="22"/>
                <w:szCs w:val="22"/>
              </w:rPr>
              <w:t>i</w:t>
            </w:r>
            <w:r w:rsidRPr="00D041F8">
              <w:rPr>
                <w:rFonts w:asciiTheme="minorHAnsi" w:hAnsiTheme="minorHAnsi" w:cstheme="minorHAnsi"/>
                <w:sz w:val="22"/>
                <w:szCs w:val="22"/>
              </w:rPr>
              <w:t>ence of their communities.</w:t>
            </w:r>
          </w:p>
          <w:p w14:paraId="3EF54407" w14:textId="4A6D444A" w:rsidR="00452EAF" w:rsidRPr="00D041F8" w:rsidRDefault="00452EAF" w:rsidP="00452EAF">
            <w:pPr>
              <w:pStyle w:val="ListParagraph"/>
              <w:numPr>
                <w:ilvl w:val="0"/>
                <w:numId w:val="11"/>
              </w:numPr>
              <w:spacing w:after="120"/>
              <w:contextualSpacing/>
              <w:jc w:val="both"/>
              <w:rPr>
                <w:rFonts w:asciiTheme="minorHAnsi" w:hAnsiTheme="minorHAnsi" w:cstheme="minorHAnsi"/>
                <w:sz w:val="22"/>
                <w:szCs w:val="22"/>
              </w:rPr>
            </w:pPr>
            <w:r w:rsidRPr="00D041F8">
              <w:rPr>
                <w:rFonts w:asciiTheme="minorHAnsi" w:hAnsiTheme="minorHAnsi" w:cstheme="minorHAnsi"/>
                <w:sz w:val="22"/>
                <w:szCs w:val="22"/>
              </w:rPr>
              <w:t>Provide recommendations to guide policy level decision-making by PUNOs and the key relevant stakeholders on engaging youth.</w:t>
            </w:r>
          </w:p>
          <w:p w14:paraId="5C51ECEA" w14:textId="77777777" w:rsidR="00452EAF" w:rsidRPr="00D041F8" w:rsidRDefault="00452EAF" w:rsidP="00452EAF">
            <w:pPr>
              <w:pStyle w:val="ListParagraph"/>
              <w:numPr>
                <w:ilvl w:val="0"/>
                <w:numId w:val="11"/>
              </w:numPr>
              <w:spacing w:after="120"/>
              <w:contextualSpacing/>
              <w:jc w:val="both"/>
              <w:rPr>
                <w:rFonts w:asciiTheme="minorHAnsi" w:hAnsiTheme="minorHAnsi" w:cstheme="minorHAnsi"/>
                <w:sz w:val="22"/>
                <w:szCs w:val="22"/>
              </w:rPr>
            </w:pPr>
            <w:r w:rsidRPr="00D041F8">
              <w:rPr>
                <w:rFonts w:asciiTheme="minorHAnsi" w:hAnsiTheme="minorHAnsi" w:cstheme="minorHAnsi"/>
                <w:sz w:val="22"/>
                <w:szCs w:val="22"/>
              </w:rPr>
              <w:t xml:space="preserve">Identify and document successes, challenges and lessons learnt of the joint programme. </w:t>
            </w:r>
          </w:p>
          <w:p w14:paraId="4DFAC771" w14:textId="47E16705" w:rsidR="00452EAF" w:rsidRPr="00D041F8" w:rsidRDefault="00452EAF" w:rsidP="00452EAF">
            <w:pPr>
              <w:pStyle w:val="ListParagraph"/>
              <w:numPr>
                <w:ilvl w:val="0"/>
                <w:numId w:val="11"/>
              </w:numPr>
              <w:spacing w:after="120"/>
              <w:contextualSpacing/>
              <w:jc w:val="both"/>
              <w:rPr>
                <w:rFonts w:asciiTheme="minorHAnsi" w:hAnsiTheme="minorHAnsi" w:cstheme="minorHAnsi"/>
                <w:sz w:val="22"/>
                <w:szCs w:val="22"/>
              </w:rPr>
            </w:pPr>
            <w:r w:rsidRPr="00D041F8">
              <w:rPr>
                <w:rFonts w:asciiTheme="minorHAnsi" w:hAnsiTheme="minorHAnsi" w:cstheme="minorHAnsi"/>
                <w:sz w:val="22"/>
                <w:szCs w:val="22"/>
              </w:rPr>
              <w:t>Assess programme contribution towards sustainability and scale up of engaging youth in the development of their communities by applying human secu</w:t>
            </w:r>
            <w:r w:rsidR="00D143D2">
              <w:rPr>
                <w:rFonts w:asciiTheme="minorHAnsi" w:hAnsiTheme="minorHAnsi" w:cstheme="minorHAnsi"/>
                <w:sz w:val="22"/>
                <w:szCs w:val="22"/>
              </w:rPr>
              <w:t>ri</w:t>
            </w:r>
            <w:r w:rsidRPr="00D041F8">
              <w:rPr>
                <w:rFonts w:asciiTheme="minorHAnsi" w:hAnsiTheme="minorHAnsi" w:cstheme="minorHAnsi"/>
                <w:sz w:val="22"/>
                <w:szCs w:val="22"/>
              </w:rPr>
              <w:t>ty approach, including through the development of youth participation mechanisms such as Youth Reference Groups.</w:t>
            </w:r>
          </w:p>
          <w:p w14:paraId="3E4A7024" w14:textId="1E510AA3" w:rsidR="00452EAF" w:rsidRPr="00915586" w:rsidRDefault="007C20B2" w:rsidP="00452EAF">
            <w:pPr>
              <w:spacing w:after="120"/>
              <w:jc w:val="both"/>
              <w:rPr>
                <w:rFonts w:ascii="Calibri" w:hAnsi="Calibri" w:cs="Calibri"/>
                <w:sz w:val="22"/>
                <w:szCs w:val="22"/>
                <w:u w:val="single"/>
                <w:lang w:val="en-US"/>
              </w:rPr>
            </w:pPr>
            <w:r w:rsidRPr="00915586">
              <w:rPr>
                <w:rFonts w:ascii="Calibri" w:hAnsi="Calibri" w:cs="Calibri"/>
                <w:sz w:val="22"/>
                <w:szCs w:val="22"/>
                <w:u w:val="single"/>
                <w:lang w:val="en-US"/>
              </w:rPr>
              <w:t xml:space="preserve">Key </w:t>
            </w:r>
            <w:r w:rsidR="008B5DB7" w:rsidRPr="00915586">
              <w:rPr>
                <w:rFonts w:ascii="Calibri" w:hAnsi="Calibri" w:cs="Calibri"/>
                <w:sz w:val="22"/>
                <w:szCs w:val="22"/>
                <w:u w:val="single"/>
                <w:lang w:val="en-US"/>
              </w:rPr>
              <w:t>implementors and s</w:t>
            </w:r>
            <w:r w:rsidRPr="00915586">
              <w:rPr>
                <w:rFonts w:ascii="Calibri" w:hAnsi="Calibri" w:cs="Calibri"/>
                <w:sz w:val="22"/>
                <w:szCs w:val="22"/>
                <w:u w:val="single"/>
                <w:lang w:val="en-US"/>
              </w:rPr>
              <w:t>takeholders:</w:t>
            </w:r>
          </w:p>
          <w:p w14:paraId="0FB11978" w14:textId="46DD6570" w:rsidR="008B5DB7" w:rsidRPr="00915586" w:rsidRDefault="008B5DB7" w:rsidP="00915586">
            <w:pPr>
              <w:pStyle w:val="ListParagraph"/>
              <w:numPr>
                <w:ilvl w:val="0"/>
                <w:numId w:val="16"/>
              </w:numPr>
              <w:spacing w:after="120"/>
              <w:jc w:val="both"/>
              <w:rPr>
                <w:rFonts w:ascii="Calibri" w:hAnsi="Calibri" w:cs="Calibri"/>
                <w:sz w:val="22"/>
                <w:szCs w:val="22"/>
              </w:rPr>
            </w:pPr>
            <w:r w:rsidRPr="00915586">
              <w:rPr>
                <w:rFonts w:ascii="Calibri" w:hAnsi="Calibri" w:cs="Calibri"/>
                <w:sz w:val="22"/>
                <w:szCs w:val="22"/>
              </w:rPr>
              <w:t>UN Resident Coordinator’s Office (RCO) and the Ministry of Foreign Affairs as the National Coordination body and co-signer of the JP</w:t>
            </w:r>
            <w:r w:rsidR="00915586" w:rsidRPr="00915586">
              <w:rPr>
                <w:rFonts w:ascii="Calibri" w:hAnsi="Calibri" w:cs="Calibri"/>
                <w:sz w:val="22"/>
                <w:szCs w:val="22"/>
              </w:rPr>
              <w:t xml:space="preserve">; </w:t>
            </w:r>
          </w:p>
          <w:p w14:paraId="09693FA8" w14:textId="2C0FE15F" w:rsidR="008B5DB7" w:rsidRPr="00915586" w:rsidRDefault="008B5DB7" w:rsidP="00915586">
            <w:pPr>
              <w:pStyle w:val="ListParagraph"/>
              <w:numPr>
                <w:ilvl w:val="0"/>
                <w:numId w:val="17"/>
              </w:numPr>
              <w:spacing w:after="120"/>
              <w:jc w:val="both"/>
              <w:rPr>
                <w:rFonts w:ascii="Calibri" w:hAnsi="Calibri" w:cs="Calibri"/>
                <w:sz w:val="22"/>
                <w:szCs w:val="22"/>
              </w:rPr>
            </w:pPr>
            <w:r w:rsidRPr="00915586">
              <w:rPr>
                <w:rFonts w:ascii="Calibri" w:hAnsi="Calibri" w:cs="Calibri"/>
                <w:sz w:val="22"/>
                <w:szCs w:val="22"/>
              </w:rPr>
              <w:lastRenderedPageBreak/>
              <w:t>UNFPA Turkmenistan as the Lead UN organization</w:t>
            </w:r>
            <w:r w:rsidR="00915586" w:rsidRPr="00915586">
              <w:rPr>
                <w:rFonts w:ascii="Calibri" w:hAnsi="Calibri" w:cs="Calibri"/>
                <w:sz w:val="22"/>
                <w:szCs w:val="22"/>
              </w:rPr>
              <w:t xml:space="preserve"> and the </w:t>
            </w:r>
            <w:r w:rsidR="00670ED5" w:rsidRPr="00915586">
              <w:rPr>
                <w:rFonts w:ascii="Calibri" w:hAnsi="Calibri" w:cs="Calibri"/>
                <w:sz w:val="22"/>
                <w:szCs w:val="22"/>
              </w:rPr>
              <w:t>Ministry of Sport and Youth Policy as the Lead National Partner on implementation of the JP</w:t>
            </w:r>
            <w:r w:rsidR="00915586" w:rsidRPr="00915586">
              <w:rPr>
                <w:rFonts w:ascii="Calibri" w:hAnsi="Calibri" w:cs="Calibri"/>
                <w:sz w:val="22"/>
                <w:szCs w:val="22"/>
              </w:rPr>
              <w:t>;</w:t>
            </w:r>
          </w:p>
          <w:p w14:paraId="7539CCA0" w14:textId="77777777" w:rsidR="00915586" w:rsidRPr="00915586" w:rsidRDefault="00915586" w:rsidP="00915586">
            <w:pPr>
              <w:pStyle w:val="ListParagraph"/>
              <w:numPr>
                <w:ilvl w:val="0"/>
                <w:numId w:val="17"/>
              </w:numPr>
              <w:spacing w:after="120"/>
              <w:jc w:val="both"/>
              <w:rPr>
                <w:rFonts w:ascii="Calibri" w:hAnsi="Calibri" w:cs="Calibri"/>
                <w:sz w:val="22"/>
                <w:szCs w:val="22"/>
              </w:rPr>
            </w:pPr>
            <w:r w:rsidRPr="00915586">
              <w:rPr>
                <w:rFonts w:ascii="Calibri" w:hAnsi="Calibri" w:cs="Calibri"/>
                <w:sz w:val="22"/>
                <w:szCs w:val="22"/>
              </w:rPr>
              <w:t>IOM, UNICEF, UNODC, UNFPA as the Participating UN organizations;</w:t>
            </w:r>
          </w:p>
          <w:p w14:paraId="2FE35CEB" w14:textId="2611C0F9" w:rsidR="008B5DB7" w:rsidRPr="00915586" w:rsidRDefault="008B5DB7" w:rsidP="00915586">
            <w:pPr>
              <w:pStyle w:val="ListParagraph"/>
              <w:numPr>
                <w:ilvl w:val="0"/>
                <w:numId w:val="17"/>
              </w:numPr>
              <w:spacing w:after="120"/>
              <w:jc w:val="both"/>
              <w:rPr>
                <w:rFonts w:asciiTheme="minorHAnsi" w:hAnsiTheme="minorHAnsi" w:cstheme="minorHAnsi"/>
                <w:sz w:val="22"/>
                <w:szCs w:val="22"/>
              </w:rPr>
            </w:pPr>
            <w:r w:rsidRPr="00915586">
              <w:rPr>
                <w:rFonts w:ascii="Calibri" w:hAnsi="Calibri" w:cs="Calibri"/>
                <w:sz w:val="22"/>
                <w:szCs w:val="22"/>
              </w:rPr>
              <w:t xml:space="preserve">Ministry of Labour and Social Protection of Population, Ministry of Interior, Ministry of Education, Ministry of Health and Medical Industry, Youth Organization, Women’s Union, National Red Crescent Society, Institute of State, Law, and Democracy, Office of Ombudsperson, State Migration Service, local government </w:t>
            </w:r>
            <w:r w:rsidRPr="00915586">
              <w:rPr>
                <w:rFonts w:asciiTheme="minorHAnsi" w:hAnsiTheme="minorHAnsi" w:cstheme="minorHAnsi"/>
                <w:sz w:val="22"/>
                <w:szCs w:val="22"/>
              </w:rPr>
              <w:t>authorities (municipalities), local organizations working with PwDs/CwDs as non- UN implementing partners</w:t>
            </w:r>
          </w:p>
          <w:p w14:paraId="2C9C1604" w14:textId="41490409" w:rsidR="00670ED5" w:rsidRPr="00915586" w:rsidRDefault="00670ED5" w:rsidP="008B5DB7">
            <w:pPr>
              <w:spacing w:after="120"/>
              <w:jc w:val="both"/>
              <w:rPr>
                <w:rFonts w:asciiTheme="minorHAnsi" w:hAnsiTheme="minorHAnsi" w:cstheme="minorHAnsi"/>
                <w:sz w:val="22"/>
                <w:szCs w:val="22"/>
                <w:lang w:val="en-US"/>
              </w:rPr>
            </w:pPr>
            <w:r w:rsidRPr="00915586">
              <w:rPr>
                <w:rFonts w:asciiTheme="minorHAnsi" w:hAnsiTheme="minorHAnsi" w:cstheme="minorHAnsi"/>
                <w:bCs/>
                <w:sz w:val="22"/>
                <w:szCs w:val="22"/>
                <w:u w:val="single"/>
                <w:lang w:val="en-US"/>
              </w:rPr>
              <w:t>The primary users</w:t>
            </w:r>
            <w:r w:rsidRPr="00915586">
              <w:rPr>
                <w:rFonts w:asciiTheme="minorHAnsi" w:hAnsiTheme="minorHAnsi" w:cstheme="minorHAnsi"/>
                <w:sz w:val="22"/>
                <w:szCs w:val="22"/>
                <w:lang w:val="en-US"/>
              </w:rPr>
              <w:t xml:space="preserve"> of the evaluation are the Government, represented by the Ministry of Foreign Affairs as the national coordinating body, Ministry of </w:t>
            </w:r>
            <w:r w:rsidR="008B5DB7" w:rsidRPr="00915586">
              <w:rPr>
                <w:rFonts w:asciiTheme="minorHAnsi" w:hAnsiTheme="minorHAnsi" w:cstheme="minorHAnsi"/>
                <w:sz w:val="22"/>
                <w:szCs w:val="22"/>
                <w:lang w:val="en-US"/>
              </w:rPr>
              <w:t>Sport and Youth Policy</w:t>
            </w:r>
            <w:r w:rsidRPr="00915586">
              <w:rPr>
                <w:rFonts w:asciiTheme="minorHAnsi" w:hAnsiTheme="minorHAnsi" w:cstheme="minorHAnsi"/>
                <w:sz w:val="22"/>
                <w:szCs w:val="22"/>
                <w:lang w:val="en-US"/>
              </w:rPr>
              <w:t xml:space="preserve"> as the Lead National partner, key sectoral ministries</w:t>
            </w:r>
            <w:r w:rsidR="008B5DB7" w:rsidRPr="00915586">
              <w:rPr>
                <w:rFonts w:asciiTheme="minorHAnsi" w:hAnsiTheme="minorHAnsi" w:cstheme="minorHAnsi"/>
                <w:sz w:val="22"/>
                <w:szCs w:val="22"/>
                <w:lang w:val="en-US"/>
              </w:rPr>
              <w:t>, public organizations</w:t>
            </w:r>
            <w:r w:rsidRPr="00915586">
              <w:rPr>
                <w:rFonts w:asciiTheme="minorHAnsi" w:hAnsiTheme="minorHAnsi" w:cstheme="minorHAnsi"/>
                <w:sz w:val="22"/>
                <w:szCs w:val="22"/>
                <w:lang w:val="en-US"/>
              </w:rPr>
              <w:t xml:space="preserve"> and PUNOs. </w:t>
            </w:r>
          </w:p>
          <w:p w14:paraId="05DEB2C9" w14:textId="65A60509" w:rsidR="007C20B2" w:rsidRPr="00915586" w:rsidRDefault="001E4240" w:rsidP="00452EAF">
            <w:pPr>
              <w:spacing w:after="120"/>
              <w:jc w:val="both"/>
              <w:rPr>
                <w:rFonts w:asciiTheme="minorHAnsi" w:hAnsiTheme="minorHAnsi" w:cstheme="minorHAnsi"/>
                <w:sz w:val="22"/>
                <w:szCs w:val="22"/>
                <w:lang w:val="en-US"/>
              </w:rPr>
            </w:pPr>
            <w:r w:rsidRPr="00915586">
              <w:rPr>
                <w:rFonts w:asciiTheme="minorHAnsi" w:hAnsiTheme="minorHAnsi" w:cstheme="minorHAnsi"/>
                <w:sz w:val="22"/>
                <w:szCs w:val="22"/>
                <w:u w:val="single"/>
                <w:lang w:val="en-US"/>
              </w:rPr>
              <w:t>Period to be covered</w:t>
            </w:r>
            <w:r w:rsidRPr="00915586">
              <w:rPr>
                <w:rFonts w:asciiTheme="minorHAnsi" w:hAnsiTheme="minorHAnsi" w:cstheme="minorHAnsi"/>
                <w:sz w:val="22"/>
                <w:szCs w:val="22"/>
                <w:lang w:val="en-US"/>
              </w:rPr>
              <w:t>:</w:t>
            </w:r>
            <w:r w:rsidR="00670ED5" w:rsidRPr="00915586">
              <w:rPr>
                <w:rFonts w:asciiTheme="minorHAnsi" w:hAnsiTheme="minorHAnsi" w:cstheme="minorHAnsi"/>
                <w:sz w:val="22"/>
                <w:szCs w:val="22"/>
                <w:lang w:val="en-US"/>
              </w:rPr>
              <w:t xml:space="preserve"> From August 2021 to date.</w:t>
            </w:r>
          </w:p>
          <w:p w14:paraId="54934F75" w14:textId="05CF5237" w:rsidR="001E4240" w:rsidRDefault="001E4240" w:rsidP="00915586">
            <w:pPr>
              <w:pStyle w:val="Default"/>
              <w:spacing w:after="120"/>
              <w:jc w:val="both"/>
              <w:rPr>
                <w:rFonts w:ascii="Calibri" w:hAnsi="Calibri" w:cs="Calibri"/>
                <w:sz w:val="22"/>
                <w:szCs w:val="22"/>
              </w:rPr>
            </w:pPr>
            <w:r w:rsidRPr="00915586">
              <w:rPr>
                <w:rFonts w:asciiTheme="minorHAnsi" w:hAnsiTheme="minorHAnsi" w:cstheme="minorHAnsi"/>
                <w:sz w:val="22"/>
                <w:szCs w:val="22"/>
                <w:u w:val="single"/>
              </w:rPr>
              <w:t>Geographical locations</w:t>
            </w:r>
            <w:r w:rsidRPr="00915586">
              <w:rPr>
                <w:rFonts w:asciiTheme="minorHAnsi" w:hAnsiTheme="minorHAnsi" w:cstheme="minorHAnsi"/>
                <w:sz w:val="22"/>
                <w:szCs w:val="22"/>
              </w:rPr>
              <w:t xml:space="preserve">: </w:t>
            </w:r>
            <w:r w:rsidR="00670ED5" w:rsidRPr="00915586">
              <w:rPr>
                <w:rFonts w:asciiTheme="minorHAnsi" w:hAnsiTheme="minorHAnsi" w:cstheme="minorHAnsi"/>
                <w:sz w:val="22"/>
                <w:szCs w:val="22"/>
              </w:rPr>
              <w:t>The geographical scope of the assessment will be Ashgabat, Lebap and Dashoguz regions (velayats).</w:t>
            </w:r>
            <w:r w:rsidR="00670ED5">
              <w:rPr>
                <w:rFonts w:asciiTheme="minorHAnsi" w:hAnsiTheme="minorHAnsi" w:cstheme="minorHAnsi"/>
                <w:sz w:val="22"/>
                <w:szCs w:val="22"/>
              </w:rPr>
              <w:t xml:space="preserve"> </w:t>
            </w:r>
            <w:r w:rsidR="00670ED5" w:rsidRPr="00B3099A">
              <w:rPr>
                <w:rFonts w:asciiTheme="minorHAnsi" w:hAnsiTheme="minorHAnsi" w:cstheme="minorHAnsi"/>
                <w:sz w:val="22"/>
                <w:szCs w:val="22"/>
              </w:rPr>
              <w:t xml:space="preserve"> </w:t>
            </w:r>
          </w:p>
          <w:p w14:paraId="0226F5FD" w14:textId="2890BEF8" w:rsidR="008B5DB7" w:rsidRPr="00915586" w:rsidRDefault="00670ED5" w:rsidP="00915586">
            <w:pPr>
              <w:spacing w:after="120"/>
              <w:rPr>
                <w:rFonts w:asciiTheme="minorHAnsi" w:hAnsiTheme="minorHAnsi"/>
                <w:sz w:val="22"/>
                <w:szCs w:val="22"/>
              </w:rPr>
            </w:pPr>
            <w:r w:rsidRPr="00915586">
              <w:rPr>
                <w:rFonts w:asciiTheme="minorHAnsi" w:hAnsiTheme="minorHAnsi" w:cstheme="majorBidi"/>
                <w:bCs/>
                <w:sz w:val="22"/>
                <w:szCs w:val="22"/>
                <w:u w:val="single"/>
                <w:lang w:val="en-US"/>
              </w:rPr>
              <w:t xml:space="preserve">Programmatic </w:t>
            </w:r>
            <w:r w:rsidRPr="00915586">
              <w:rPr>
                <w:rFonts w:asciiTheme="minorHAnsi" w:hAnsiTheme="minorHAnsi"/>
                <w:bCs/>
                <w:sz w:val="22"/>
                <w:szCs w:val="22"/>
                <w:u w:val="single"/>
              </w:rPr>
              <w:t>coverage and Theory of Change</w:t>
            </w:r>
            <w:r w:rsidRPr="00915586">
              <w:rPr>
                <w:rFonts w:asciiTheme="minorHAnsi" w:hAnsiTheme="minorHAnsi"/>
                <w:bCs/>
                <w:sz w:val="22"/>
                <w:szCs w:val="22"/>
              </w:rPr>
              <w:t>:</w:t>
            </w:r>
            <w:r w:rsidRPr="00915586">
              <w:rPr>
                <w:rFonts w:asciiTheme="minorHAnsi" w:hAnsiTheme="minorHAnsi" w:cstheme="majorBidi"/>
                <w:sz w:val="22"/>
                <w:szCs w:val="22"/>
                <w:lang w:val="en-US"/>
              </w:rPr>
              <w:t xml:space="preserve"> </w:t>
            </w:r>
            <w:r w:rsidRPr="00915586">
              <w:rPr>
                <w:rFonts w:asciiTheme="minorHAnsi" w:hAnsiTheme="minorHAnsi" w:cs="Calibri"/>
                <w:sz w:val="22"/>
                <w:szCs w:val="22"/>
              </w:rPr>
              <w:t xml:space="preserve">The evaluation will cover all Outputs of the UN JP (see </w:t>
            </w:r>
            <w:r w:rsidR="008B5DB7" w:rsidRPr="00915586">
              <w:rPr>
                <w:rFonts w:asciiTheme="minorHAnsi" w:hAnsiTheme="minorHAnsi" w:cs="Calibri"/>
                <w:sz w:val="22"/>
                <w:szCs w:val="22"/>
              </w:rPr>
              <w:t>programme document</w:t>
            </w:r>
            <w:r w:rsidRPr="00915586">
              <w:rPr>
                <w:rFonts w:asciiTheme="minorHAnsi" w:hAnsiTheme="minorHAnsi" w:cs="Calibri"/>
                <w:sz w:val="22"/>
                <w:szCs w:val="22"/>
              </w:rPr>
              <w:t xml:space="preserve"> for more details)</w:t>
            </w:r>
            <w:r w:rsidR="008B5DB7" w:rsidRPr="00915586">
              <w:rPr>
                <w:rFonts w:asciiTheme="minorHAnsi" w:hAnsiTheme="minorHAnsi" w:cs="Calibri"/>
                <w:sz w:val="22"/>
                <w:szCs w:val="22"/>
              </w:rPr>
              <w:t xml:space="preserve"> which aims at </w:t>
            </w:r>
            <w:r w:rsidR="008B5DB7" w:rsidRPr="00915586">
              <w:rPr>
                <w:rFonts w:asciiTheme="minorHAnsi" w:hAnsiTheme="minorHAnsi"/>
                <w:sz w:val="22"/>
                <w:szCs w:val="22"/>
              </w:rPr>
              <w:t>build</w:t>
            </w:r>
            <w:r w:rsidR="00915586" w:rsidRPr="00915586">
              <w:rPr>
                <w:rFonts w:asciiTheme="minorHAnsi" w:hAnsiTheme="minorHAnsi"/>
                <w:sz w:val="22"/>
                <w:szCs w:val="22"/>
              </w:rPr>
              <w:t>ing</w:t>
            </w:r>
            <w:r w:rsidR="008B5DB7" w:rsidRPr="00915586">
              <w:rPr>
                <w:rFonts w:asciiTheme="minorHAnsi" w:hAnsiTheme="minorHAnsi"/>
                <w:sz w:val="22"/>
                <w:szCs w:val="22"/>
              </w:rPr>
              <w:t xml:space="preserve"> the capacity of both government officials at the local level to implement SERP in their localities inspired by the human security approach in ways that are people centered and comprehensive. In addition, the programme targets the youth in selected regions to build their resilience and make them agents of change in their communities.</w:t>
            </w:r>
          </w:p>
          <w:p w14:paraId="1097AF0F" w14:textId="69761B44" w:rsidR="001E4240" w:rsidRDefault="001E4240" w:rsidP="00452EAF">
            <w:pPr>
              <w:spacing w:after="120"/>
              <w:jc w:val="both"/>
              <w:rPr>
                <w:rFonts w:ascii="Calibri" w:hAnsi="Calibri" w:cs="Calibri"/>
                <w:sz w:val="22"/>
                <w:szCs w:val="22"/>
                <w:lang w:val="en-US"/>
              </w:rPr>
            </w:pPr>
            <w:r w:rsidRPr="00915586">
              <w:rPr>
                <w:rFonts w:ascii="Calibri" w:hAnsi="Calibri" w:cs="Calibri"/>
                <w:sz w:val="22"/>
                <w:szCs w:val="22"/>
                <w:u w:val="single"/>
                <w:lang w:val="en-US"/>
              </w:rPr>
              <w:t>Methodology</w:t>
            </w:r>
            <w:r w:rsidR="00A706C1">
              <w:rPr>
                <w:rFonts w:ascii="Calibri" w:hAnsi="Calibri" w:cs="Calibri"/>
                <w:sz w:val="22"/>
                <w:szCs w:val="22"/>
                <w:u w:val="single"/>
                <w:lang w:val="en-US"/>
              </w:rPr>
              <w:t xml:space="preserve"> and Ethical Considerations</w:t>
            </w:r>
            <w:r>
              <w:rPr>
                <w:rFonts w:ascii="Calibri" w:hAnsi="Calibri" w:cs="Calibri"/>
                <w:sz w:val="22"/>
                <w:szCs w:val="22"/>
                <w:lang w:val="en-US"/>
              </w:rPr>
              <w:t>:</w:t>
            </w:r>
          </w:p>
          <w:p w14:paraId="63695DD1" w14:textId="2AD85833" w:rsidR="00915586" w:rsidRDefault="00670ED5" w:rsidP="00D52AB6">
            <w:pPr>
              <w:pStyle w:val="Default"/>
              <w:spacing w:after="120"/>
              <w:jc w:val="both"/>
            </w:pPr>
            <w:r w:rsidRPr="00AA4F8C">
              <w:rPr>
                <w:rFonts w:asciiTheme="minorHAnsi" w:hAnsiTheme="minorHAnsi"/>
                <w:sz w:val="22"/>
                <w:szCs w:val="22"/>
              </w:rPr>
              <w:t xml:space="preserve">The </w:t>
            </w:r>
            <w:r w:rsidR="00D041F8">
              <w:rPr>
                <w:rFonts w:asciiTheme="minorHAnsi" w:hAnsiTheme="minorHAnsi"/>
                <w:sz w:val="22"/>
                <w:szCs w:val="22"/>
              </w:rPr>
              <w:t xml:space="preserve">assessment </w:t>
            </w:r>
            <w:r w:rsidRPr="00AA4F8C">
              <w:rPr>
                <w:rFonts w:asciiTheme="minorHAnsi" w:hAnsiTheme="minorHAnsi"/>
                <w:sz w:val="22"/>
                <w:szCs w:val="22"/>
              </w:rPr>
              <w:t xml:space="preserve">methodology will be </w:t>
            </w:r>
            <w:r w:rsidR="00D143D2">
              <w:rPr>
                <w:rFonts w:asciiTheme="minorHAnsi" w:hAnsiTheme="minorHAnsi"/>
                <w:sz w:val="22"/>
                <w:szCs w:val="22"/>
              </w:rPr>
              <w:t xml:space="preserve">employed and </w:t>
            </w:r>
            <w:r w:rsidRPr="00AA4F8C">
              <w:rPr>
                <w:rFonts w:asciiTheme="minorHAnsi" w:hAnsiTheme="minorHAnsi"/>
                <w:sz w:val="22"/>
                <w:szCs w:val="22"/>
              </w:rPr>
              <w:t xml:space="preserve">guided by the Evaluation Norms and Standards of the United Nations Evaluation Group (UNEG), as well as in line with </w:t>
            </w:r>
            <w:r w:rsidR="00915586">
              <w:rPr>
                <w:rFonts w:asciiTheme="minorHAnsi" w:hAnsiTheme="minorHAnsi"/>
                <w:sz w:val="22"/>
                <w:szCs w:val="22"/>
              </w:rPr>
              <w:t>UNFPA’s</w:t>
            </w:r>
            <w:r w:rsidRPr="00AA4F8C">
              <w:rPr>
                <w:rFonts w:asciiTheme="minorHAnsi" w:hAnsiTheme="minorHAnsi"/>
                <w:sz w:val="22"/>
                <w:szCs w:val="22"/>
              </w:rPr>
              <w:t xml:space="preserve"> Evaluation Policy, </w:t>
            </w:r>
            <w:r w:rsidR="00915586">
              <w:rPr>
                <w:rFonts w:asciiTheme="minorHAnsi" w:hAnsiTheme="minorHAnsi"/>
                <w:sz w:val="22"/>
                <w:szCs w:val="22"/>
              </w:rPr>
              <w:t>UNFPA</w:t>
            </w:r>
            <w:r w:rsidRPr="00AA4F8C">
              <w:rPr>
                <w:rFonts w:asciiTheme="minorHAnsi" w:hAnsiTheme="minorHAnsi"/>
                <w:sz w:val="22"/>
                <w:szCs w:val="22"/>
              </w:rPr>
              <w:t xml:space="preserve"> Procedure for Ethical Standards in Research, Evaluations and Data Collection and Analysis and </w:t>
            </w:r>
            <w:r w:rsidR="00915586">
              <w:rPr>
                <w:rFonts w:asciiTheme="minorHAnsi" w:hAnsiTheme="minorHAnsi"/>
                <w:sz w:val="22"/>
                <w:szCs w:val="22"/>
              </w:rPr>
              <w:t>UNFPA’s</w:t>
            </w:r>
            <w:r w:rsidRPr="00AA4F8C">
              <w:rPr>
                <w:rFonts w:asciiTheme="minorHAnsi" w:hAnsiTheme="minorHAnsi"/>
                <w:sz w:val="22"/>
                <w:szCs w:val="22"/>
              </w:rPr>
              <w:t xml:space="preserve"> reporting standards as it was agreed among PUNOs based on the </w:t>
            </w:r>
            <w:r w:rsidR="00915586">
              <w:rPr>
                <w:rFonts w:asciiTheme="minorHAnsi" w:hAnsiTheme="minorHAnsi"/>
                <w:sz w:val="22"/>
                <w:szCs w:val="22"/>
              </w:rPr>
              <w:t>UNFPA’s</w:t>
            </w:r>
            <w:r w:rsidRPr="00AA4F8C">
              <w:rPr>
                <w:rFonts w:asciiTheme="minorHAnsi" w:hAnsiTheme="minorHAnsi"/>
                <w:sz w:val="22"/>
                <w:szCs w:val="22"/>
              </w:rPr>
              <w:t xml:space="preserve"> lead in the JP evaluation.</w:t>
            </w:r>
            <w:r w:rsidRPr="00AA4F8C">
              <w:rPr>
                <w:rFonts w:asciiTheme="minorHAnsi" w:hAnsiTheme="minorHAnsi" w:cs="Arial"/>
                <w:sz w:val="22"/>
                <w:szCs w:val="22"/>
              </w:rPr>
              <w:t xml:space="preserve"> It will integrate human rights, gender and equity </w:t>
            </w:r>
            <w:r w:rsidR="000B2523">
              <w:rPr>
                <w:rFonts w:asciiTheme="minorHAnsi" w:hAnsiTheme="minorHAnsi" w:cs="Arial"/>
                <w:sz w:val="22"/>
                <w:szCs w:val="22"/>
              </w:rPr>
              <w:t xml:space="preserve">guided by </w:t>
            </w:r>
            <w:r w:rsidRPr="00AA4F8C">
              <w:rPr>
                <w:rFonts w:asciiTheme="minorHAnsi" w:hAnsiTheme="minorHAnsi" w:cs="Arial"/>
                <w:sz w:val="22"/>
                <w:szCs w:val="22"/>
              </w:rPr>
              <w:t>the relevant UNEG guidelines and will be conducted in accordance with the UNEG Code of Conduct and Ethical Guidelines for Evaluation</w:t>
            </w:r>
            <w:r w:rsidR="000B2523">
              <w:rPr>
                <w:rFonts w:asciiTheme="minorHAnsi" w:hAnsiTheme="minorHAnsi" w:cs="Arial"/>
                <w:sz w:val="22"/>
                <w:szCs w:val="22"/>
              </w:rPr>
              <w:t>, where applicable</w:t>
            </w:r>
            <w:r w:rsidRPr="00AA4F8C">
              <w:rPr>
                <w:rFonts w:asciiTheme="minorHAnsi" w:hAnsiTheme="minorHAnsi" w:cs="Arial"/>
                <w:sz w:val="22"/>
                <w:szCs w:val="22"/>
              </w:rPr>
              <w:t xml:space="preserve">. </w:t>
            </w:r>
            <w:r w:rsidRPr="00784FC7">
              <w:rPr>
                <w:rFonts w:ascii="Calibri" w:hAnsi="Calibri" w:cs="Calibri"/>
                <w:bCs/>
                <w:color w:val="auto"/>
                <w:sz w:val="22"/>
                <w:szCs w:val="22"/>
                <w:lang w:val="en-GB"/>
              </w:rPr>
              <w:t xml:space="preserve">The </w:t>
            </w:r>
            <w:r w:rsidR="000B2523">
              <w:rPr>
                <w:rFonts w:ascii="Calibri" w:hAnsi="Calibri" w:cs="Calibri"/>
                <w:bCs/>
                <w:color w:val="auto"/>
                <w:sz w:val="22"/>
                <w:szCs w:val="22"/>
                <w:lang w:val="en-GB"/>
              </w:rPr>
              <w:t>assessment</w:t>
            </w:r>
            <w:r w:rsidR="000B2523" w:rsidRPr="00784FC7">
              <w:rPr>
                <w:rFonts w:ascii="Calibri" w:hAnsi="Calibri" w:cs="Calibri"/>
                <w:bCs/>
                <w:color w:val="auto"/>
                <w:sz w:val="22"/>
                <w:szCs w:val="22"/>
                <w:lang w:val="en-GB"/>
              </w:rPr>
              <w:t xml:space="preserve"> </w:t>
            </w:r>
            <w:r w:rsidRPr="00784FC7">
              <w:rPr>
                <w:rFonts w:ascii="Calibri" w:hAnsi="Calibri" w:cs="Calibri"/>
                <w:bCs/>
                <w:color w:val="auto"/>
                <w:sz w:val="22"/>
                <w:szCs w:val="22"/>
                <w:lang w:val="en-GB"/>
              </w:rPr>
              <w:t xml:space="preserve">will focus on the criteria of relevance, effectiveness, efficiency, </w:t>
            </w:r>
            <w:r w:rsidR="000B2523">
              <w:rPr>
                <w:rFonts w:ascii="Calibri" w:hAnsi="Calibri" w:cs="Calibri"/>
                <w:bCs/>
                <w:color w:val="auto"/>
                <w:sz w:val="22"/>
                <w:szCs w:val="22"/>
                <w:lang w:val="en-GB"/>
              </w:rPr>
              <w:t xml:space="preserve">coordination </w:t>
            </w:r>
            <w:r w:rsidRPr="00784FC7">
              <w:rPr>
                <w:rFonts w:ascii="Calibri" w:hAnsi="Calibri" w:cs="Calibri"/>
                <w:bCs/>
                <w:color w:val="auto"/>
                <w:sz w:val="22"/>
                <w:szCs w:val="22"/>
                <w:lang w:val="en-GB"/>
              </w:rPr>
              <w:t xml:space="preserve">and sustainability. </w:t>
            </w:r>
          </w:p>
          <w:p w14:paraId="2B0414F8" w14:textId="3292EBD1" w:rsidR="00915586" w:rsidRPr="00D52AB6" w:rsidRDefault="00670ED5" w:rsidP="00D52AB6">
            <w:pPr>
              <w:pStyle w:val="Default"/>
              <w:spacing w:after="120"/>
              <w:jc w:val="both"/>
              <w:rPr>
                <w:rFonts w:asciiTheme="minorHAnsi" w:hAnsiTheme="minorHAnsi" w:cs="Calibri"/>
                <w:bCs/>
                <w:color w:val="auto"/>
                <w:sz w:val="22"/>
                <w:szCs w:val="22"/>
                <w:lang w:val="en-GB"/>
              </w:rPr>
            </w:pPr>
            <w:r w:rsidRPr="009476E3">
              <w:rPr>
                <w:rFonts w:ascii="Calibri" w:hAnsi="Calibri" w:cs="Calibri"/>
                <w:bCs/>
                <w:color w:val="auto"/>
                <w:sz w:val="22"/>
                <w:szCs w:val="22"/>
                <w:lang w:val="en-GB"/>
              </w:rPr>
              <w:t xml:space="preserve">The </w:t>
            </w:r>
            <w:r>
              <w:rPr>
                <w:rFonts w:ascii="Calibri" w:hAnsi="Calibri" w:cs="Calibri"/>
                <w:bCs/>
                <w:color w:val="auto"/>
                <w:sz w:val="22"/>
                <w:szCs w:val="22"/>
                <w:lang w:val="en-GB"/>
              </w:rPr>
              <w:t xml:space="preserve">impact of the </w:t>
            </w:r>
            <w:r w:rsidRPr="009476E3">
              <w:rPr>
                <w:rFonts w:ascii="Calibri" w:hAnsi="Calibri" w:cs="Calibri"/>
                <w:bCs/>
                <w:color w:val="auto"/>
                <w:sz w:val="22"/>
                <w:szCs w:val="22"/>
                <w:lang w:val="en-GB"/>
              </w:rPr>
              <w:t xml:space="preserve">JP is expected </w:t>
            </w:r>
            <w:r>
              <w:rPr>
                <w:rFonts w:ascii="Calibri" w:hAnsi="Calibri" w:cs="Calibri"/>
                <w:bCs/>
                <w:color w:val="auto"/>
                <w:sz w:val="22"/>
                <w:szCs w:val="22"/>
                <w:lang w:val="en-GB"/>
              </w:rPr>
              <w:t>to include</w:t>
            </w:r>
            <w:r w:rsidR="00915586">
              <w:rPr>
                <w:rFonts w:ascii="Calibri" w:hAnsi="Calibri" w:cs="Calibri"/>
                <w:bCs/>
                <w:color w:val="auto"/>
                <w:sz w:val="22"/>
                <w:szCs w:val="22"/>
                <w:lang w:val="en-GB"/>
              </w:rPr>
              <w:t xml:space="preserve"> the knowledge and application of the Human Security approach </w:t>
            </w:r>
            <w:r w:rsidR="00915586" w:rsidRPr="00915586">
              <w:rPr>
                <w:rFonts w:ascii="Calibri" w:hAnsi="Calibri" w:cs="Calibri"/>
                <w:bCs/>
                <w:color w:val="auto"/>
                <w:sz w:val="22"/>
                <w:szCs w:val="22"/>
                <w:lang w:val="en-GB"/>
              </w:rPr>
              <w:t xml:space="preserve">applied to the </w:t>
            </w:r>
            <w:r w:rsidR="00915586">
              <w:rPr>
                <w:rFonts w:ascii="Calibri" w:hAnsi="Calibri" w:cs="Calibri"/>
                <w:bCs/>
                <w:color w:val="auto"/>
                <w:sz w:val="22"/>
                <w:szCs w:val="22"/>
                <w:lang w:val="en-GB"/>
              </w:rPr>
              <w:t xml:space="preserve">implementation of community initiatives at the local levels </w:t>
            </w:r>
            <w:r w:rsidR="00915586" w:rsidRPr="00915586">
              <w:rPr>
                <w:rFonts w:ascii="Calibri" w:hAnsi="Calibri" w:cs="Calibri"/>
                <w:bCs/>
                <w:color w:val="auto"/>
                <w:sz w:val="22"/>
                <w:szCs w:val="22"/>
                <w:lang w:val="en-GB"/>
              </w:rPr>
              <w:t>in response to the global pandemic</w:t>
            </w:r>
            <w:r w:rsidR="00915586">
              <w:rPr>
                <w:rFonts w:ascii="Calibri" w:hAnsi="Calibri" w:cs="Calibri"/>
                <w:bCs/>
                <w:color w:val="auto"/>
                <w:sz w:val="22"/>
                <w:szCs w:val="22"/>
                <w:lang w:val="en-GB"/>
              </w:rPr>
              <w:t xml:space="preserve"> focusing on the impact that is </w:t>
            </w:r>
            <w:r w:rsidR="00915586" w:rsidRPr="00D52AB6">
              <w:rPr>
                <w:rFonts w:asciiTheme="minorHAnsi" w:hAnsiTheme="minorHAnsi" w:cs="Calibri"/>
                <w:bCs/>
                <w:color w:val="auto"/>
                <w:sz w:val="22"/>
                <w:szCs w:val="22"/>
                <w:lang w:val="en-GB"/>
              </w:rPr>
              <w:t>people-centred, comprehensive, context specific and preventive.</w:t>
            </w:r>
          </w:p>
          <w:p w14:paraId="6C065175" w14:textId="6AA3F3C8" w:rsidR="007C20B2" w:rsidRPr="00A706C1" w:rsidRDefault="00670ED5" w:rsidP="00452EAF">
            <w:pPr>
              <w:spacing w:after="120"/>
              <w:contextualSpacing/>
              <w:jc w:val="both"/>
              <w:rPr>
                <w:rFonts w:asciiTheme="minorHAnsi" w:hAnsiTheme="minorHAnsi" w:cs="Arial"/>
                <w:color w:val="000000"/>
                <w:sz w:val="22"/>
                <w:szCs w:val="22"/>
                <w:lang w:val="en-US"/>
              </w:rPr>
            </w:pPr>
            <w:r w:rsidRPr="00D52AB6">
              <w:rPr>
                <w:rFonts w:asciiTheme="minorHAnsi" w:hAnsiTheme="minorHAnsi" w:cs="Arial"/>
                <w:sz w:val="22"/>
                <w:szCs w:val="22"/>
              </w:rPr>
              <w:t xml:space="preserve">The </w:t>
            </w:r>
            <w:r w:rsidR="000B2523">
              <w:rPr>
                <w:rFonts w:asciiTheme="minorHAnsi" w:hAnsiTheme="minorHAnsi" w:cs="Arial"/>
                <w:sz w:val="22"/>
                <w:szCs w:val="22"/>
              </w:rPr>
              <w:t xml:space="preserve">technical </w:t>
            </w:r>
            <w:r w:rsidRPr="00D52AB6">
              <w:rPr>
                <w:rFonts w:asciiTheme="minorHAnsi" w:hAnsiTheme="minorHAnsi" w:cs="Arial"/>
                <w:sz w:val="22"/>
                <w:szCs w:val="22"/>
              </w:rPr>
              <w:t xml:space="preserve">proposals are welcome to make suggestions including using any </w:t>
            </w:r>
            <w:r w:rsidR="000B2523">
              <w:rPr>
                <w:rFonts w:asciiTheme="minorHAnsi" w:hAnsiTheme="minorHAnsi" w:cs="Arial"/>
                <w:sz w:val="22"/>
                <w:szCs w:val="22"/>
              </w:rPr>
              <w:t xml:space="preserve">online </w:t>
            </w:r>
            <w:r w:rsidRPr="00D52AB6">
              <w:rPr>
                <w:rFonts w:asciiTheme="minorHAnsi" w:hAnsiTheme="minorHAnsi" w:cs="Arial"/>
                <w:sz w:val="22"/>
                <w:szCs w:val="22"/>
              </w:rPr>
              <w:t xml:space="preserve">and cost-effective ways of sampling </w:t>
            </w:r>
            <w:r w:rsidR="00D143D2">
              <w:rPr>
                <w:rFonts w:asciiTheme="minorHAnsi" w:hAnsiTheme="minorHAnsi" w:cs="Arial"/>
                <w:sz w:val="22"/>
                <w:szCs w:val="22"/>
              </w:rPr>
              <w:t xml:space="preserve">the </w:t>
            </w:r>
            <w:r w:rsidR="000B2523">
              <w:rPr>
                <w:rFonts w:asciiTheme="minorHAnsi" w:hAnsiTheme="minorHAnsi" w:cs="Arial"/>
                <w:sz w:val="22"/>
                <w:szCs w:val="22"/>
              </w:rPr>
              <w:t>stakeholders.</w:t>
            </w:r>
            <w:r w:rsidRPr="00D52AB6">
              <w:rPr>
                <w:rFonts w:asciiTheme="minorHAnsi" w:hAnsiTheme="minorHAnsi" w:cs="Arial"/>
                <w:sz w:val="22"/>
                <w:szCs w:val="22"/>
              </w:rPr>
              <w:t xml:space="preserve"> Methodological rigor will be given </w:t>
            </w:r>
            <w:r w:rsidR="00D143D2">
              <w:rPr>
                <w:rFonts w:asciiTheme="minorHAnsi" w:hAnsiTheme="minorHAnsi" w:cs="Arial"/>
                <w:sz w:val="22"/>
                <w:szCs w:val="22"/>
              </w:rPr>
              <w:t xml:space="preserve">a </w:t>
            </w:r>
            <w:r w:rsidRPr="00D52AB6">
              <w:rPr>
                <w:rFonts w:asciiTheme="minorHAnsi" w:hAnsiTheme="minorHAnsi" w:cs="Arial"/>
                <w:sz w:val="22"/>
                <w:szCs w:val="22"/>
              </w:rPr>
              <w:t xml:space="preserve">significant consideration in the assessment of proposals. Bidders are welcome to indicate preferred methodologies, and succinctly relate these to the objectives of the </w:t>
            </w:r>
            <w:r w:rsidR="000B2523">
              <w:rPr>
                <w:rFonts w:asciiTheme="minorHAnsi" w:hAnsiTheme="minorHAnsi" w:cs="Arial"/>
                <w:sz w:val="22"/>
                <w:szCs w:val="22"/>
              </w:rPr>
              <w:t>assessment</w:t>
            </w:r>
            <w:r w:rsidRPr="00D52AB6">
              <w:rPr>
                <w:rFonts w:asciiTheme="minorHAnsi" w:hAnsiTheme="minorHAnsi" w:cs="Arial"/>
                <w:sz w:val="22"/>
                <w:szCs w:val="22"/>
              </w:rPr>
              <w:t xml:space="preserve"> and its questions. </w:t>
            </w:r>
            <w:r w:rsidRPr="00A706C1">
              <w:rPr>
                <w:rFonts w:asciiTheme="minorHAnsi" w:hAnsiTheme="minorHAnsi" w:cs="Arial"/>
                <w:bCs/>
                <w:color w:val="000000"/>
                <w:sz w:val="22"/>
                <w:szCs w:val="22"/>
                <w:u w:val="single"/>
                <w:lang w:val="en-US"/>
              </w:rPr>
              <w:t>Data collection</w:t>
            </w:r>
            <w:r w:rsidRPr="00A706C1">
              <w:rPr>
                <w:rFonts w:asciiTheme="minorHAnsi" w:hAnsiTheme="minorHAnsi" w:cs="Arial"/>
                <w:b/>
                <w:bCs/>
                <w:color w:val="000000"/>
                <w:sz w:val="22"/>
                <w:szCs w:val="22"/>
                <w:lang w:val="en-US"/>
              </w:rPr>
              <w:t>:</w:t>
            </w:r>
            <w:r w:rsidRPr="00A706C1">
              <w:rPr>
                <w:rFonts w:asciiTheme="minorHAnsi" w:hAnsiTheme="minorHAnsi" w:cs="Arial"/>
                <w:color w:val="000000"/>
                <w:sz w:val="22"/>
                <w:szCs w:val="22"/>
                <w:lang w:val="en-US"/>
              </w:rPr>
              <w:t xml:space="preserve"> Relevant data should be collected from programme beneficiaries and key implementation stakeholders and partners</w:t>
            </w:r>
            <w:r w:rsidR="00A706C1" w:rsidRPr="00A706C1">
              <w:rPr>
                <w:rFonts w:asciiTheme="minorHAnsi" w:hAnsiTheme="minorHAnsi" w:cs="Arial"/>
                <w:color w:val="000000"/>
                <w:sz w:val="22"/>
                <w:szCs w:val="22"/>
                <w:lang w:val="en-US"/>
              </w:rPr>
              <w:t xml:space="preserve">. </w:t>
            </w:r>
            <w:r w:rsidRPr="00A706C1">
              <w:rPr>
                <w:rFonts w:asciiTheme="minorHAnsi" w:hAnsiTheme="minorHAnsi" w:cs="Arial"/>
                <w:color w:val="000000"/>
                <w:sz w:val="22"/>
                <w:szCs w:val="22"/>
                <w:lang w:val="en-US"/>
              </w:rPr>
              <w:t xml:space="preserve">For data collection purpose, an international consultant will develop an </w:t>
            </w:r>
            <w:r w:rsidR="000B2523">
              <w:rPr>
                <w:rFonts w:asciiTheme="minorHAnsi" w:hAnsiTheme="minorHAnsi" w:cs="Arial"/>
                <w:color w:val="000000"/>
                <w:sz w:val="22"/>
                <w:szCs w:val="22"/>
                <w:lang w:val="en-US"/>
              </w:rPr>
              <w:t>assessment methodology frame</w:t>
            </w:r>
            <w:r w:rsidRPr="00A706C1">
              <w:rPr>
                <w:rFonts w:asciiTheme="minorHAnsi" w:hAnsiTheme="minorHAnsi" w:cs="Arial"/>
                <w:color w:val="000000"/>
                <w:sz w:val="22"/>
                <w:szCs w:val="22"/>
                <w:lang w:val="en-US"/>
              </w:rPr>
              <w:t>, to undertake interviews and analysis.</w:t>
            </w:r>
            <w:r w:rsidR="00A706C1" w:rsidRPr="00A706C1">
              <w:rPr>
                <w:rFonts w:asciiTheme="minorHAnsi" w:hAnsiTheme="minorHAnsi" w:cs="Arial"/>
                <w:color w:val="000000"/>
                <w:sz w:val="22"/>
                <w:szCs w:val="22"/>
                <w:lang w:val="en-US"/>
              </w:rPr>
              <w:t xml:space="preserve"> C</w:t>
            </w:r>
            <w:r w:rsidRPr="00A706C1">
              <w:rPr>
                <w:rFonts w:asciiTheme="minorHAnsi" w:hAnsiTheme="minorHAnsi" w:cs="Arial"/>
                <w:color w:val="000000"/>
                <w:sz w:val="22"/>
                <w:szCs w:val="22"/>
                <w:lang w:val="en-US"/>
              </w:rPr>
              <w:t>onfidentiality</w:t>
            </w:r>
            <w:r w:rsidR="00723870">
              <w:rPr>
                <w:rFonts w:asciiTheme="minorHAnsi" w:hAnsiTheme="minorHAnsi" w:cs="Arial"/>
                <w:color w:val="000000"/>
                <w:sz w:val="22"/>
                <w:szCs w:val="22"/>
                <w:lang w:val="en-US"/>
              </w:rPr>
              <w:t xml:space="preserve">, ethical considerations </w:t>
            </w:r>
            <w:r w:rsidRPr="00A706C1">
              <w:rPr>
                <w:rFonts w:asciiTheme="minorHAnsi" w:hAnsiTheme="minorHAnsi" w:cs="Arial"/>
                <w:color w:val="000000"/>
                <w:sz w:val="22"/>
                <w:szCs w:val="22"/>
                <w:lang w:val="en-US"/>
              </w:rPr>
              <w:t xml:space="preserve">and consent will also be </w:t>
            </w:r>
            <w:r w:rsidR="00A706C1">
              <w:rPr>
                <w:rFonts w:asciiTheme="minorHAnsi" w:hAnsiTheme="minorHAnsi" w:cs="Arial"/>
                <w:color w:val="000000"/>
                <w:sz w:val="22"/>
                <w:szCs w:val="22"/>
                <w:lang w:val="en-US"/>
              </w:rPr>
              <w:t>considered</w:t>
            </w:r>
            <w:r w:rsidRPr="00A706C1">
              <w:rPr>
                <w:rFonts w:asciiTheme="minorHAnsi" w:hAnsiTheme="minorHAnsi" w:cs="Arial"/>
                <w:color w:val="000000"/>
                <w:sz w:val="22"/>
                <w:szCs w:val="22"/>
                <w:lang w:val="en-US"/>
              </w:rPr>
              <w:t xml:space="preserve">. </w:t>
            </w:r>
            <w:r w:rsidR="001E4240">
              <w:rPr>
                <w:rFonts w:ascii="Calibri" w:hAnsi="Calibri" w:cs="Calibri"/>
                <w:sz w:val="22"/>
                <w:szCs w:val="22"/>
                <w:lang w:val="en-US"/>
              </w:rPr>
              <w:t xml:space="preserve"> </w:t>
            </w:r>
          </w:p>
        </w:tc>
      </w:tr>
      <w:tr w:rsidR="00152E15" w:rsidRPr="00E83345" w14:paraId="415B51BB" w14:textId="77777777" w:rsidTr="007C0C3A">
        <w:tblPrEx>
          <w:tblCellMar>
            <w:left w:w="148" w:type="dxa"/>
            <w:right w:w="148" w:type="dxa"/>
          </w:tblCellMar>
        </w:tblPrEx>
        <w:trPr>
          <w:trHeight w:val="1160"/>
        </w:trPr>
        <w:tc>
          <w:tcPr>
            <w:tcW w:w="2790" w:type="dxa"/>
            <w:shd w:val="clear" w:color="auto" w:fill="auto"/>
          </w:tcPr>
          <w:p w14:paraId="28879EC6" w14:textId="7246E4D2" w:rsidR="00152E15" w:rsidRPr="00E83345" w:rsidRDefault="00F450A5" w:rsidP="00685120">
            <w:pPr>
              <w:tabs>
                <w:tab w:val="left" w:pos="-720"/>
              </w:tabs>
              <w:suppressAutoHyphens/>
              <w:spacing w:before="40" w:after="54"/>
              <w:rPr>
                <w:rFonts w:ascii="Calibri" w:hAnsi="Calibri" w:cs="Calibri"/>
                <w:sz w:val="22"/>
                <w:szCs w:val="22"/>
              </w:rPr>
            </w:pPr>
            <w:bookmarkStart w:id="2" w:name="_Hlk85039913"/>
            <w:r w:rsidRPr="00E83345">
              <w:rPr>
                <w:rFonts w:ascii="Calibri" w:hAnsi="Calibri" w:cs="Calibri"/>
                <w:sz w:val="22"/>
                <w:szCs w:val="22"/>
              </w:rPr>
              <w:lastRenderedPageBreak/>
              <w:t>Scope of work:</w:t>
            </w:r>
          </w:p>
          <w:p w14:paraId="03832BE7" w14:textId="6EB6B4E7" w:rsidR="00F450A5" w:rsidRPr="00E83345" w:rsidRDefault="00F450A5" w:rsidP="00685120">
            <w:pPr>
              <w:tabs>
                <w:tab w:val="left" w:pos="-720"/>
              </w:tabs>
              <w:suppressAutoHyphens/>
              <w:spacing w:before="40" w:after="54"/>
              <w:rPr>
                <w:rFonts w:ascii="Calibri" w:hAnsi="Calibri" w:cs="Calibri"/>
                <w:sz w:val="22"/>
                <w:szCs w:val="22"/>
              </w:rPr>
            </w:pPr>
            <w:r w:rsidRPr="00E83345">
              <w:rPr>
                <w:rFonts w:ascii="Calibri" w:hAnsi="Calibri" w:cs="Calibri"/>
                <w:sz w:val="22"/>
                <w:szCs w:val="22"/>
              </w:rPr>
              <w:t>(Description of services, activities, or outputs)</w:t>
            </w:r>
          </w:p>
        </w:tc>
        <w:tc>
          <w:tcPr>
            <w:tcW w:w="7920" w:type="dxa"/>
            <w:shd w:val="clear" w:color="auto" w:fill="auto"/>
          </w:tcPr>
          <w:p w14:paraId="1C65FC65" w14:textId="0A9C5377" w:rsidR="005C1E9D" w:rsidRDefault="005C1E9D" w:rsidP="005C1E9D">
            <w:pPr>
              <w:pStyle w:val="NoSpacing"/>
              <w:numPr>
                <w:ilvl w:val="0"/>
                <w:numId w:val="9"/>
              </w:numPr>
              <w:jc w:val="both"/>
              <w:rPr>
                <w:rFonts w:ascii="Calibri" w:hAnsi="Calibri" w:cs="Calibri"/>
              </w:rPr>
            </w:pPr>
            <w:r w:rsidRPr="00A45D71">
              <w:rPr>
                <w:rFonts w:ascii="Calibri" w:hAnsi="Calibri" w:cs="Calibri"/>
                <w:b/>
              </w:rPr>
              <w:t>Planning phase</w:t>
            </w:r>
            <w:r>
              <w:rPr>
                <w:rFonts w:ascii="Calibri" w:hAnsi="Calibri" w:cs="Calibri"/>
                <w:b/>
              </w:rPr>
              <w:t xml:space="preserve">: </w:t>
            </w:r>
            <w:r w:rsidRPr="00A45D71">
              <w:rPr>
                <w:rFonts w:ascii="Calibri" w:hAnsi="Calibri" w:cs="Calibri"/>
              </w:rPr>
              <w:t xml:space="preserve"> </w:t>
            </w:r>
            <w:r>
              <w:rPr>
                <w:rFonts w:ascii="Calibri" w:hAnsi="Calibri" w:cs="Calibri"/>
              </w:rPr>
              <w:t>R</w:t>
            </w:r>
            <w:r w:rsidRPr="00A45D71">
              <w:rPr>
                <w:rFonts w:ascii="Calibri" w:hAnsi="Calibri" w:cs="Calibri"/>
              </w:rPr>
              <w:t xml:space="preserve">eview </w:t>
            </w:r>
            <w:r>
              <w:rPr>
                <w:rFonts w:ascii="Calibri" w:hAnsi="Calibri" w:cs="Calibri"/>
              </w:rPr>
              <w:t xml:space="preserve">the </w:t>
            </w:r>
            <w:r w:rsidRPr="00A45D71">
              <w:rPr>
                <w:rFonts w:ascii="Calibri" w:hAnsi="Calibri" w:cs="Calibri"/>
              </w:rPr>
              <w:t xml:space="preserve">relevant internal documents </w:t>
            </w:r>
            <w:r>
              <w:rPr>
                <w:rFonts w:ascii="Calibri" w:hAnsi="Calibri" w:cs="Calibri"/>
              </w:rPr>
              <w:t xml:space="preserve">of the </w:t>
            </w:r>
            <w:r w:rsidRPr="00A45D71">
              <w:rPr>
                <w:rFonts w:ascii="Calibri" w:hAnsi="Calibri" w:cs="Calibri"/>
              </w:rPr>
              <w:t xml:space="preserve">UN and its partners’, including but not limited to project documents, </w:t>
            </w:r>
            <w:r>
              <w:rPr>
                <w:rFonts w:ascii="Calibri" w:hAnsi="Calibri" w:cs="Calibri"/>
              </w:rPr>
              <w:t>minutes of JP Steering Committee, Technical group and Local Board</w:t>
            </w:r>
            <w:r w:rsidR="00997210">
              <w:rPr>
                <w:rFonts w:ascii="Calibri" w:hAnsi="Calibri" w:cs="Calibri"/>
              </w:rPr>
              <w:t xml:space="preserve">’s </w:t>
            </w:r>
            <w:r>
              <w:rPr>
                <w:rFonts w:ascii="Calibri" w:hAnsi="Calibri" w:cs="Calibri"/>
              </w:rPr>
              <w:t xml:space="preserve">meetings, monthly field </w:t>
            </w:r>
            <w:r w:rsidRPr="00A45D71">
              <w:rPr>
                <w:rFonts w:ascii="Calibri" w:hAnsi="Calibri" w:cs="Calibri"/>
              </w:rPr>
              <w:t>reports</w:t>
            </w:r>
            <w:r>
              <w:rPr>
                <w:rFonts w:ascii="Calibri" w:hAnsi="Calibri" w:cs="Calibri"/>
              </w:rPr>
              <w:t xml:space="preserve"> from national consultants</w:t>
            </w:r>
            <w:r w:rsidRPr="00A45D71">
              <w:rPr>
                <w:rFonts w:ascii="Calibri" w:hAnsi="Calibri" w:cs="Calibri"/>
              </w:rPr>
              <w:t xml:space="preserve">, </w:t>
            </w:r>
            <w:r>
              <w:rPr>
                <w:rFonts w:ascii="Calibri" w:hAnsi="Calibri" w:cs="Calibri"/>
              </w:rPr>
              <w:t>other reports and documents</w:t>
            </w:r>
            <w:r w:rsidRPr="00A45D71">
              <w:rPr>
                <w:rFonts w:ascii="Calibri" w:hAnsi="Calibri" w:cs="Calibri"/>
              </w:rPr>
              <w:t xml:space="preserve"> related to </w:t>
            </w:r>
            <w:r>
              <w:rPr>
                <w:rFonts w:ascii="Calibri" w:hAnsi="Calibri" w:cs="Calibri"/>
              </w:rPr>
              <w:t>UN JP</w:t>
            </w:r>
            <w:r w:rsidR="00997210">
              <w:rPr>
                <w:rFonts w:ascii="Calibri" w:hAnsi="Calibri" w:cs="Calibri"/>
              </w:rPr>
              <w:t xml:space="preserve"> – 3 days:</w:t>
            </w:r>
          </w:p>
          <w:p w14:paraId="1FC1F363" w14:textId="2A3AB328" w:rsidR="005C1E9D" w:rsidRDefault="005C1E9D" w:rsidP="003C6D2C">
            <w:pPr>
              <w:pStyle w:val="NoSpacing"/>
              <w:numPr>
                <w:ilvl w:val="0"/>
                <w:numId w:val="9"/>
              </w:numPr>
              <w:jc w:val="both"/>
              <w:rPr>
                <w:rFonts w:ascii="Calibri" w:hAnsi="Calibri" w:cs="Calibri"/>
              </w:rPr>
            </w:pPr>
            <w:r w:rsidRPr="005C1E9D">
              <w:rPr>
                <w:rFonts w:ascii="Calibri" w:hAnsi="Calibri" w:cs="Calibri"/>
                <w:b/>
              </w:rPr>
              <w:lastRenderedPageBreak/>
              <w:t>Inception phase</w:t>
            </w:r>
            <w:r>
              <w:rPr>
                <w:rFonts w:ascii="Calibri" w:hAnsi="Calibri" w:cs="Calibri"/>
                <w:b/>
              </w:rPr>
              <w:t>:</w:t>
            </w:r>
            <w:r w:rsidRPr="005C1E9D">
              <w:rPr>
                <w:rFonts w:ascii="Calibri" w:hAnsi="Calibri" w:cs="Calibri"/>
              </w:rPr>
              <w:t xml:space="preserve"> </w:t>
            </w:r>
            <w:r>
              <w:rPr>
                <w:rFonts w:ascii="Calibri" w:hAnsi="Calibri" w:cs="Calibri"/>
              </w:rPr>
              <w:t>Prepare</w:t>
            </w:r>
            <w:r w:rsidRPr="005C1E9D">
              <w:rPr>
                <w:rFonts w:ascii="Calibri" w:hAnsi="Calibri" w:cs="Calibri"/>
              </w:rPr>
              <w:t xml:space="preserve"> Inception Report which should outline detailed scope, assessment framework; methodology; sampling of respondents </w:t>
            </w:r>
            <w:r w:rsidR="00997210">
              <w:rPr>
                <w:rFonts w:ascii="Calibri" w:hAnsi="Calibri" w:cs="Calibri"/>
              </w:rPr>
              <w:t>– 2 days:</w:t>
            </w:r>
          </w:p>
          <w:p w14:paraId="7C19D78F" w14:textId="63D078B2" w:rsidR="005C1E9D" w:rsidRDefault="005C1E9D" w:rsidP="005C1E9D">
            <w:pPr>
              <w:pStyle w:val="NoSpacing"/>
              <w:numPr>
                <w:ilvl w:val="1"/>
                <w:numId w:val="9"/>
              </w:numPr>
              <w:jc w:val="both"/>
              <w:rPr>
                <w:rFonts w:ascii="Calibri" w:hAnsi="Calibri" w:cs="Calibri"/>
              </w:rPr>
            </w:pPr>
            <w:r w:rsidRPr="005C1E9D">
              <w:rPr>
                <w:rFonts w:ascii="Calibri" w:hAnsi="Calibri" w:cs="Calibri"/>
              </w:rPr>
              <w:t>assess reliability of data with focus on disaggregated data for evidence generation to be in line with “leave no one behind” approach</w:t>
            </w:r>
            <w:r>
              <w:rPr>
                <w:rFonts w:ascii="Calibri" w:hAnsi="Calibri" w:cs="Calibri"/>
              </w:rPr>
              <w:t>;</w:t>
            </w:r>
          </w:p>
          <w:p w14:paraId="01FA02BC" w14:textId="27DC530F" w:rsidR="005C1E9D" w:rsidRDefault="005C1E9D" w:rsidP="005C1E9D">
            <w:pPr>
              <w:pStyle w:val="NoSpacing"/>
              <w:numPr>
                <w:ilvl w:val="1"/>
                <w:numId w:val="9"/>
              </w:numPr>
              <w:jc w:val="both"/>
              <w:rPr>
                <w:rFonts w:ascii="Calibri" w:hAnsi="Calibri" w:cs="Calibri"/>
              </w:rPr>
            </w:pPr>
            <w:r w:rsidRPr="005C1E9D">
              <w:rPr>
                <w:rFonts w:ascii="Calibri" w:hAnsi="Calibri" w:cs="Calibri"/>
              </w:rPr>
              <w:t xml:space="preserve">present preliminary observations from the Desk Review and initial methodology and potential questions for further elaboration during the </w:t>
            </w:r>
            <w:r w:rsidR="00A9498C">
              <w:rPr>
                <w:rFonts w:ascii="Calibri" w:hAnsi="Calibri" w:cs="Calibri"/>
              </w:rPr>
              <w:t>data collocation stage</w:t>
            </w:r>
            <w:r>
              <w:rPr>
                <w:rFonts w:ascii="Calibri" w:hAnsi="Calibri" w:cs="Calibri"/>
              </w:rPr>
              <w:t>;</w:t>
            </w:r>
          </w:p>
          <w:p w14:paraId="73A61B92" w14:textId="076CC2D8" w:rsidR="005C1E9D" w:rsidRDefault="005C1E9D" w:rsidP="005C1E9D">
            <w:pPr>
              <w:pStyle w:val="NoSpacing"/>
              <w:numPr>
                <w:ilvl w:val="1"/>
                <w:numId w:val="9"/>
              </w:numPr>
              <w:jc w:val="both"/>
              <w:rPr>
                <w:rFonts w:ascii="Calibri" w:hAnsi="Calibri" w:cs="Calibri"/>
              </w:rPr>
            </w:pPr>
            <w:r w:rsidRPr="005C1E9D">
              <w:rPr>
                <w:rFonts w:ascii="Calibri" w:hAnsi="Calibri" w:cs="Calibri"/>
              </w:rPr>
              <w:t xml:space="preserve">submit a work plan of </w:t>
            </w:r>
            <w:r w:rsidRPr="00670ED5">
              <w:rPr>
                <w:rFonts w:ascii="Calibri" w:hAnsi="Calibri" w:cs="Calibri"/>
              </w:rPr>
              <w:t xml:space="preserve">assignment and to confirm the assessment methodology and tools with the UN RCO </w:t>
            </w:r>
            <w:r w:rsidR="00BE4AAD" w:rsidRPr="00670ED5">
              <w:rPr>
                <w:rFonts w:ascii="Calibri" w:hAnsi="Calibri" w:cs="Calibri"/>
              </w:rPr>
              <w:t>Data Management and Result Moni</w:t>
            </w:r>
            <w:r w:rsidR="00925CCE" w:rsidRPr="00670ED5">
              <w:rPr>
                <w:rFonts w:ascii="Calibri" w:hAnsi="Calibri" w:cs="Calibri"/>
              </w:rPr>
              <w:t>tor</w:t>
            </w:r>
            <w:r w:rsidR="00BE4AAD" w:rsidRPr="00670ED5">
              <w:rPr>
                <w:rFonts w:ascii="Calibri" w:hAnsi="Calibri" w:cs="Calibri"/>
              </w:rPr>
              <w:t>ing</w:t>
            </w:r>
            <w:r w:rsidR="007C0C3A" w:rsidRPr="00670ED5">
              <w:rPr>
                <w:rFonts w:ascii="Calibri" w:hAnsi="Calibri" w:cs="Calibri"/>
              </w:rPr>
              <w:t>/Reporting Monitor</w:t>
            </w:r>
            <w:r w:rsidRPr="005C1E9D">
              <w:rPr>
                <w:rFonts w:ascii="Calibri" w:hAnsi="Calibri" w:cs="Calibri"/>
              </w:rPr>
              <w:t xml:space="preserve"> and UNFPA National Programme Analyst for Gender and Youth</w:t>
            </w:r>
            <w:r>
              <w:rPr>
                <w:rFonts w:ascii="Calibri" w:hAnsi="Calibri" w:cs="Calibri"/>
              </w:rPr>
              <w:t>.</w:t>
            </w:r>
          </w:p>
          <w:p w14:paraId="0AE6CB5A" w14:textId="0E8E5411" w:rsidR="005C1E9D" w:rsidRPr="007B75D8" w:rsidRDefault="005C1E9D" w:rsidP="003C6D2C">
            <w:pPr>
              <w:pStyle w:val="NoSpacing"/>
              <w:numPr>
                <w:ilvl w:val="0"/>
                <w:numId w:val="9"/>
              </w:numPr>
              <w:jc w:val="both"/>
              <w:rPr>
                <w:rFonts w:ascii="Calibri" w:hAnsi="Calibri" w:cs="Calibri"/>
              </w:rPr>
            </w:pPr>
            <w:r w:rsidRPr="00A45D71">
              <w:rPr>
                <w:rFonts w:ascii="Calibri" w:hAnsi="Calibri" w:cs="Calibri"/>
                <w:b/>
              </w:rPr>
              <w:t>Fact-finding phase (</w:t>
            </w:r>
            <w:r w:rsidR="00A9498C">
              <w:rPr>
                <w:rFonts w:ascii="Calibri" w:hAnsi="Calibri" w:cs="Calibri"/>
                <w:b/>
              </w:rPr>
              <w:t>data collection</w:t>
            </w:r>
            <w:r w:rsidRPr="00A45D71">
              <w:rPr>
                <w:rFonts w:ascii="Calibri" w:hAnsi="Calibri" w:cs="Calibri"/>
                <w:b/>
              </w:rPr>
              <w:t>)</w:t>
            </w:r>
            <w:r w:rsidR="00997210">
              <w:rPr>
                <w:rFonts w:ascii="Calibri" w:hAnsi="Calibri" w:cs="Calibri"/>
                <w:b/>
              </w:rPr>
              <w:t xml:space="preserve"> </w:t>
            </w:r>
            <w:r w:rsidR="00997210" w:rsidRPr="00997210">
              <w:rPr>
                <w:rFonts w:ascii="Calibri" w:hAnsi="Calibri" w:cs="Calibri"/>
              </w:rPr>
              <w:t>- 6 days</w:t>
            </w:r>
            <w:r w:rsidR="00997210">
              <w:rPr>
                <w:rFonts w:ascii="Calibri" w:hAnsi="Calibri" w:cs="Calibri"/>
              </w:rPr>
              <w:t>:</w:t>
            </w:r>
          </w:p>
          <w:p w14:paraId="07A3F095" w14:textId="053BD8B6" w:rsidR="007B75D8" w:rsidRDefault="007B75D8" w:rsidP="007B75D8">
            <w:pPr>
              <w:pStyle w:val="NoSpacing"/>
              <w:numPr>
                <w:ilvl w:val="1"/>
                <w:numId w:val="9"/>
              </w:numPr>
              <w:jc w:val="both"/>
              <w:rPr>
                <w:rFonts w:ascii="Calibri" w:hAnsi="Calibri" w:cs="Calibri"/>
              </w:rPr>
            </w:pPr>
            <w:r>
              <w:rPr>
                <w:rFonts w:ascii="Calibri" w:hAnsi="Calibri" w:cs="Calibri"/>
              </w:rPr>
              <w:t>C</w:t>
            </w:r>
            <w:r w:rsidRPr="00A45D71">
              <w:rPr>
                <w:rFonts w:ascii="Calibri" w:hAnsi="Calibri" w:cs="Calibri"/>
              </w:rPr>
              <w:t>ollect data with minimum involvement of partners or UN staff</w:t>
            </w:r>
            <w:r>
              <w:rPr>
                <w:rFonts w:ascii="Calibri" w:hAnsi="Calibri" w:cs="Calibri"/>
              </w:rPr>
              <w:t xml:space="preserve">, but with the help of a representative of a Team on the ground, and taking note of special conditions and limitations, ethical considerations, confidentiality requirements. </w:t>
            </w:r>
            <w:r w:rsidRPr="00A45D71">
              <w:rPr>
                <w:rFonts w:ascii="Calibri" w:hAnsi="Calibri" w:cs="Calibri"/>
              </w:rPr>
              <w:t>UN</w:t>
            </w:r>
            <w:r>
              <w:rPr>
                <w:rFonts w:ascii="Calibri" w:hAnsi="Calibri" w:cs="Calibri"/>
              </w:rPr>
              <w:t>FPA</w:t>
            </w:r>
            <w:r w:rsidRPr="00A45D71">
              <w:rPr>
                <w:rFonts w:ascii="Calibri" w:hAnsi="Calibri" w:cs="Calibri"/>
              </w:rPr>
              <w:t xml:space="preserve"> will facilitate the data collection and field work required for this exercise</w:t>
            </w:r>
            <w:r>
              <w:rPr>
                <w:rFonts w:ascii="Calibri" w:hAnsi="Calibri" w:cs="Calibri"/>
              </w:rPr>
              <w:t>;</w:t>
            </w:r>
          </w:p>
          <w:p w14:paraId="2B7BF3CD" w14:textId="6146D24A" w:rsidR="007B75D8" w:rsidRDefault="007B75D8" w:rsidP="007B75D8">
            <w:pPr>
              <w:pStyle w:val="NoSpacing"/>
              <w:numPr>
                <w:ilvl w:val="1"/>
                <w:numId w:val="9"/>
              </w:numPr>
              <w:jc w:val="both"/>
              <w:rPr>
                <w:rFonts w:ascii="Calibri" w:hAnsi="Calibri" w:cs="Calibri"/>
              </w:rPr>
            </w:pPr>
            <w:r>
              <w:rPr>
                <w:rFonts w:ascii="Calibri" w:hAnsi="Calibri" w:cs="Calibri"/>
              </w:rPr>
              <w:t>F</w:t>
            </w:r>
            <w:r w:rsidRPr="007B75D8">
              <w:rPr>
                <w:rFonts w:ascii="Calibri" w:hAnsi="Calibri" w:cs="Calibri"/>
              </w:rPr>
              <w:t>ocus</w:t>
            </w:r>
            <w:r>
              <w:rPr>
                <w:rFonts w:ascii="Calibri" w:hAnsi="Calibri" w:cs="Calibri"/>
              </w:rPr>
              <w:t xml:space="preserve"> the assessment approach, </w:t>
            </w:r>
            <w:r w:rsidRPr="007B75D8">
              <w:rPr>
                <w:rFonts w:ascii="Calibri" w:hAnsi="Calibri" w:cs="Calibri"/>
              </w:rPr>
              <w:t>data collection and analysis methods on equity, gender and human rights aspects, be responsive and appropriate for analysing the gender equality, human rights issues including child rights issues identified in the scope.</w:t>
            </w:r>
            <w:r>
              <w:rPr>
                <w:rFonts w:ascii="Calibri" w:hAnsi="Calibri" w:cs="Calibri"/>
              </w:rPr>
              <w:t xml:space="preserve"> </w:t>
            </w:r>
          </w:p>
          <w:p w14:paraId="71159AA3" w14:textId="63F56AFF" w:rsidR="007B75D8" w:rsidRPr="007B75D8" w:rsidRDefault="007B75D8" w:rsidP="007B75D8">
            <w:pPr>
              <w:pStyle w:val="NoSpacing"/>
              <w:numPr>
                <w:ilvl w:val="1"/>
                <w:numId w:val="9"/>
              </w:numPr>
              <w:jc w:val="both"/>
              <w:rPr>
                <w:rFonts w:ascii="Calibri" w:hAnsi="Calibri" w:cs="Calibri"/>
              </w:rPr>
            </w:pPr>
            <w:r>
              <w:rPr>
                <w:rFonts w:ascii="Calibri" w:hAnsi="Calibri" w:cs="Calibri"/>
              </w:rPr>
              <w:t>C</w:t>
            </w:r>
            <w:r w:rsidRPr="007B75D8">
              <w:rPr>
                <w:rFonts w:ascii="Calibri" w:hAnsi="Calibri" w:cs="Calibri"/>
              </w:rPr>
              <w:t>onduct data interpretation and conceptual work.</w:t>
            </w:r>
          </w:p>
          <w:p w14:paraId="751F1A12" w14:textId="1B13CA02" w:rsidR="007B75D8" w:rsidRDefault="007B75D8" w:rsidP="00234BDD">
            <w:pPr>
              <w:pStyle w:val="NoSpacing"/>
              <w:numPr>
                <w:ilvl w:val="0"/>
                <w:numId w:val="9"/>
              </w:numPr>
              <w:jc w:val="both"/>
              <w:rPr>
                <w:rFonts w:ascii="Calibri" w:hAnsi="Calibri" w:cs="Calibri"/>
              </w:rPr>
            </w:pPr>
            <w:r w:rsidRPr="007B75D8">
              <w:rPr>
                <w:rFonts w:ascii="Calibri" w:hAnsi="Calibri" w:cs="Calibri"/>
                <w:b/>
              </w:rPr>
              <w:t>Reporting phase</w:t>
            </w:r>
            <w:r w:rsidRPr="007B75D8">
              <w:rPr>
                <w:rFonts w:ascii="Calibri" w:hAnsi="Calibri" w:cs="Calibri"/>
              </w:rPr>
              <w:t xml:space="preserve"> </w:t>
            </w:r>
            <w:r w:rsidR="00997210">
              <w:rPr>
                <w:rFonts w:ascii="Calibri" w:hAnsi="Calibri" w:cs="Calibri"/>
              </w:rPr>
              <w:t xml:space="preserve">– </w:t>
            </w:r>
            <w:r w:rsidR="007A2B14">
              <w:rPr>
                <w:rFonts w:ascii="Calibri" w:hAnsi="Calibri" w:cs="Calibri"/>
              </w:rPr>
              <w:t>6</w:t>
            </w:r>
            <w:r w:rsidR="00997210">
              <w:rPr>
                <w:rFonts w:ascii="Calibri" w:hAnsi="Calibri" w:cs="Calibri"/>
              </w:rPr>
              <w:t xml:space="preserve"> days:</w:t>
            </w:r>
          </w:p>
          <w:p w14:paraId="3A712BE6" w14:textId="5916B145" w:rsidR="007B75D8" w:rsidRDefault="007B75D8" w:rsidP="007B75D8">
            <w:pPr>
              <w:pStyle w:val="NoSpacing"/>
              <w:numPr>
                <w:ilvl w:val="1"/>
                <w:numId w:val="9"/>
              </w:numPr>
              <w:jc w:val="both"/>
              <w:rPr>
                <w:rFonts w:ascii="Calibri" w:hAnsi="Calibri" w:cs="Calibri"/>
              </w:rPr>
            </w:pPr>
            <w:r w:rsidRPr="007B75D8">
              <w:rPr>
                <w:rFonts w:ascii="Calibri" w:hAnsi="Calibri" w:cs="Calibri"/>
              </w:rPr>
              <w:t xml:space="preserve">Draft Assessment Report and pay close attention to formulating </w:t>
            </w:r>
            <w:r w:rsidR="00723870">
              <w:rPr>
                <w:rFonts w:ascii="Calibri" w:hAnsi="Calibri" w:cs="Calibri"/>
              </w:rPr>
              <w:t xml:space="preserve">practical and strategic </w:t>
            </w:r>
            <w:r w:rsidRPr="007B75D8">
              <w:rPr>
                <w:rFonts w:ascii="Calibri" w:hAnsi="Calibri" w:cs="Calibri"/>
              </w:rPr>
              <w:t>recommendations, clearly prioritizing 3-5 recommendations for concrete actions</w:t>
            </w:r>
            <w:r>
              <w:rPr>
                <w:rFonts w:ascii="Calibri" w:hAnsi="Calibri" w:cs="Calibri"/>
              </w:rPr>
              <w:t>;</w:t>
            </w:r>
          </w:p>
          <w:p w14:paraId="79C47583" w14:textId="6A82CBB7" w:rsidR="00A9498C" w:rsidRDefault="00A9498C" w:rsidP="007B75D8">
            <w:pPr>
              <w:pStyle w:val="NoSpacing"/>
              <w:numPr>
                <w:ilvl w:val="1"/>
                <w:numId w:val="9"/>
              </w:numPr>
              <w:jc w:val="both"/>
              <w:rPr>
                <w:rFonts w:ascii="Calibri" w:hAnsi="Calibri" w:cs="Calibri"/>
              </w:rPr>
            </w:pPr>
            <w:r>
              <w:rPr>
                <w:rFonts w:ascii="Calibri" w:hAnsi="Calibri" w:cs="Calibri"/>
              </w:rPr>
              <w:t>Consult with the Technical Advisor of the JP for generation of the strategic level programme recommendations;</w:t>
            </w:r>
          </w:p>
          <w:p w14:paraId="7788E217" w14:textId="1E2CDF26" w:rsidR="007B75D8" w:rsidRDefault="007B75D8" w:rsidP="007B75D8">
            <w:pPr>
              <w:pStyle w:val="NoSpacing"/>
              <w:numPr>
                <w:ilvl w:val="1"/>
                <w:numId w:val="9"/>
              </w:numPr>
              <w:jc w:val="both"/>
              <w:rPr>
                <w:rFonts w:ascii="Calibri" w:hAnsi="Calibri" w:cs="Calibri"/>
              </w:rPr>
            </w:pPr>
            <w:r>
              <w:rPr>
                <w:rFonts w:ascii="Calibri" w:hAnsi="Calibri" w:cs="Calibri"/>
              </w:rPr>
              <w:t>Present the draft report and main finding to a UN team consisting of UNRC office and 4 PUNO agencies</w:t>
            </w:r>
            <w:r w:rsidR="00A82416">
              <w:rPr>
                <w:rFonts w:ascii="Calibri" w:hAnsi="Calibri" w:cs="Calibri"/>
              </w:rPr>
              <w:t xml:space="preserve"> and national partners</w:t>
            </w:r>
            <w:r>
              <w:rPr>
                <w:rFonts w:ascii="Calibri" w:hAnsi="Calibri" w:cs="Calibri"/>
              </w:rPr>
              <w:t>;</w:t>
            </w:r>
          </w:p>
          <w:p w14:paraId="28862EDB" w14:textId="2178E617" w:rsidR="007B75D8" w:rsidRDefault="007B75D8" w:rsidP="007B75D8">
            <w:pPr>
              <w:pStyle w:val="NoSpacing"/>
              <w:numPr>
                <w:ilvl w:val="1"/>
                <w:numId w:val="9"/>
              </w:numPr>
              <w:jc w:val="both"/>
              <w:rPr>
                <w:rFonts w:ascii="Calibri" w:hAnsi="Calibri" w:cs="Calibri"/>
              </w:rPr>
            </w:pPr>
            <w:r>
              <w:rPr>
                <w:rFonts w:ascii="Calibri" w:hAnsi="Calibri" w:cs="Calibri"/>
              </w:rPr>
              <w:t>Finalize the report.</w:t>
            </w:r>
          </w:p>
          <w:p w14:paraId="386C36EA" w14:textId="1369D310" w:rsidR="007B75D8" w:rsidRDefault="00997210" w:rsidP="007B75D8">
            <w:pPr>
              <w:pStyle w:val="NoSpacing"/>
              <w:numPr>
                <w:ilvl w:val="0"/>
                <w:numId w:val="9"/>
              </w:numPr>
              <w:jc w:val="both"/>
              <w:rPr>
                <w:rFonts w:ascii="Calibri" w:hAnsi="Calibri" w:cs="Calibri"/>
              </w:rPr>
            </w:pPr>
            <w:r w:rsidRPr="00997210">
              <w:rPr>
                <w:rFonts w:ascii="Calibri" w:hAnsi="Calibri" w:cs="Calibri"/>
                <w:b/>
              </w:rPr>
              <w:t>Develop final consultancy report</w:t>
            </w:r>
            <w:r>
              <w:rPr>
                <w:rFonts w:ascii="Calibri" w:hAnsi="Calibri" w:cs="Calibri"/>
              </w:rPr>
              <w:t xml:space="preserve"> - 1 day.</w:t>
            </w:r>
          </w:p>
          <w:p w14:paraId="0D917FC1" w14:textId="569B8ED7" w:rsidR="007B75D8" w:rsidRPr="007B75D8" w:rsidRDefault="007B75D8" w:rsidP="007B75D8">
            <w:pPr>
              <w:pStyle w:val="NoSpacing"/>
              <w:ind w:left="30"/>
              <w:jc w:val="both"/>
              <w:rPr>
                <w:rFonts w:ascii="Calibri" w:hAnsi="Calibri" w:cs="Calibri"/>
              </w:rPr>
            </w:pPr>
            <w:r w:rsidRPr="007B75D8">
              <w:rPr>
                <w:rFonts w:ascii="Calibri" w:hAnsi="Calibri" w:cs="Calibri"/>
                <w:i/>
              </w:rPr>
              <w:t>Please note:</w:t>
            </w:r>
            <w:r>
              <w:rPr>
                <w:rFonts w:ascii="Calibri" w:hAnsi="Calibri" w:cs="Calibri"/>
              </w:rPr>
              <w:t xml:space="preserve"> </w:t>
            </w:r>
            <w:r w:rsidRPr="007B75D8">
              <w:rPr>
                <w:rFonts w:ascii="Calibri" w:hAnsi="Calibri" w:cs="Calibri"/>
              </w:rPr>
              <w:t xml:space="preserve">The </w:t>
            </w:r>
            <w:r w:rsidR="001E4240">
              <w:rPr>
                <w:rFonts w:ascii="Calibri" w:hAnsi="Calibri" w:cs="Calibri"/>
              </w:rPr>
              <w:t>assessment</w:t>
            </w:r>
            <w:r w:rsidR="001E4240" w:rsidRPr="007B75D8">
              <w:rPr>
                <w:rFonts w:ascii="Calibri" w:hAnsi="Calibri" w:cs="Calibri"/>
              </w:rPr>
              <w:t xml:space="preserve"> </w:t>
            </w:r>
            <w:r w:rsidRPr="007B75D8">
              <w:rPr>
                <w:rFonts w:ascii="Calibri" w:hAnsi="Calibri" w:cs="Calibri"/>
              </w:rPr>
              <w:t>report to be produced must be compliant with the UNFPA standards. The Assessment Report will be made available on the UN website. The visualization materials will be developed and used as an advocacy tool. Additionally, the Report will be shared among bilateral and development partners.</w:t>
            </w:r>
          </w:p>
          <w:p w14:paraId="25F83AC5" w14:textId="77777777" w:rsidR="007E5E84" w:rsidRPr="00E83345" w:rsidRDefault="007E5E84" w:rsidP="00E83345">
            <w:pPr>
              <w:pStyle w:val="ListParagraph"/>
              <w:ind w:right="135"/>
              <w:jc w:val="both"/>
              <w:rPr>
                <w:rFonts w:ascii="Calibri" w:hAnsi="Calibri" w:cs="Calibri"/>
                <w:sz w:val="22"/>
                <w:szCs w:val="22"/>
              </w:rPr>
            </w:pPr>
          </w:p>
          <w:p w14:paraId="2090A87D" w14:textId="719BB502" w:rsidR="00152E15" w:rsidRPr="00E83345" w:rsidRDefault="00E66068" w:rsidP="00E83345">
            <w:pPr>
              <w:ind w:right="120"/>
              <w:jc w:val="both"/>
              <w:rPr>
                <w:rFonts w:ascii="Calibri" w:hAnsi="Calibri" w:cs="Calibri"/>
                <w:b/>
                <w:vanish/>
                <w:sz w:val="22"/>
                <w:szCs w:val="22"/>
              </w:rPr>
            </w:pPr>
            <w:r w:rsidRPr="00E83345">
              <w:rPr>
                <w:rFonts w:ascii="Calibri" w:hAnsi="Calibri" w:cs="Calibri"/>
                <w:b/>
                <w:sz w:val="22"/>
                <w:szCs w:val="22"/>
              </w:rPr>
              <w:t xml:space="preserve">Total number of days: </w:t>
            </w:r>
            <w:r w:rsidR="000271E4">
              <w:rPr>
                <w:rFonts w:ascii="Calibri" w:hAnsi="Calibri" w:cs="Calibri"/>
                <w:b/>
                <w:sz w:val="22"/>
                <w:szCs w:val="22"/>
              </w:rPr>
              <w:t>1</w:t>
            </w:r>
            <w:r w:rsidR="007A2B14">
              <w:rPr>
                <w:rFonts w:ascii="Calibri" w:hAnsi="Calibri" w:cs="Calibri"/>
                <w:b/>
                <w:sz w:val="22"/>
                <w:szCs w:val="22"/>
              </w:rPr>
              <w:t>8</w:t>
            </w:r>
            <w:r w:rsidRPr="00E83345">
              <w:rPr>
                <w:rFonts w:ascii="Calibri" w:hAnsi="Calibri" w:cs="Calibri"/>
                <w:b/>
                <w:sz w:val="22"/>
                <w:szCs w:val="22"/>
              </w:rPr>
              <w:t xml:space="preserve"> working days</w:t>
            </w:r>
          </w:p>
          <w:p w14:paraId="689C9142" w14:textId="77777777" w:rsidR="00152E15" w:rsidRPr="00E83345" w:rsidRDefault="00152E15" w:rsidP="00FE2055">
            <w:pPr>
              <w:jc w:val="both"/>
              <w:rPr>
                <w:rFonts w:ascii="Calibri" w:hAnsi="Calibri" w:cs="Calibri"/>
                <w:b/>
                <w:vanish/>
                <w:sz w:val="22"/>
                <w:szCs w:val="22"/>
              </w:rPr>
            </w:pPr>
          </w:p>
          <w:p w14:paraId="597D921D" w14:textId="77777777" w:rsidR="00152E15" w:rsidRPr="00E83345" w:rsidRDefault="00152E15" w:rsidP="00FE2055">
            <w:pPr>
              <w:tabs>
                <w:tab w:val="left" w:pos="-720"/>
              </w:tabs>
              <w:suppressAutoHyphens/>
              <w:spacing w:before="40" w:after="54"/>
              <w:jc w:val="both"/>
              <w:rPr>
                <w:rFonts w:ascii="Calibri" w:hAnsi="Calibri" w:cs="Calibri"/>
                <w:b/>
                <w:sz w:val="22"/>
                <w:szCs w:val="22"/>
                <w:highlight w:val="yellow"/>
              </w:rPr>
            </w:pPr>
          </w:p>
        </w:tc>
      </w:tr>
      <w:bookmarkEnd w:id="2"/>
      <w:tr w:rsidR="002C532B" w:rsidRPr="00E83345" w14:paraId="20DAA857" w14:textId="77777777" w:rsidTr="002871E4">
        <w:tblPrEx>
          <w:tblCellMar>
            <w:left w:w="148" w:type="dxa"/>
            <w:right w:w="148" w:type="dxa"/>
          </w:tblCellMar>
        </w:tblPrEx>
        <w:trPr>
          <w:trHeight w:val="70"/>
        </w:trPr>
        <w:tc>
          <w:tcPr>
            <w:tcW w:w="2790" w:type="dxa"/>
            <w:shd w:val="clear" w:color="auto" w:fill="auto"/>
          </w:tcPr>
          <w:p w14:paraId="614B0F0D" w14:textId="52D50A39" w:rsidR="002C532B" w:rsidRPr="00E83345" w:rsidRDefault="009D723C" w:rsidP="002C532B">
            <w:pPr>
              <w:tabs>
                <w:tab w:val="left" w:pos="-720"/>
              </w:tabs>
              <w:suppressAutoHyphens/>
              <w:spacing w:before="40" w:after="54"/>
              <w:rPr>
                <w:rFonts w:ascii="Calibri" w:hAnsi="Calibri" w:cs="Calibri"/>
                <w:sz w:val="22"/>
                <w:szCs w:val="22"/>
              </w:rPr>
            </w:pPr>
            <w:r w:rsidRPr="00E83345">
              <w:rPr>
                <w:rFonts w:ascii="Calibri" w:hAnsi="Calibri" w:cs="Calibri"/>
                <w:sz w:val="22"/>
                <w:szCs w:val="22"/>
              </w:rPr>
              <w:lastRenderedPageBreak/>
              <w:t xml:space="preserve">Expected Outcomes and </w:t>
            </w:r>
            <w:r w:rsidR="00FF58B8" w:rsidRPr="00E83345">
              <w:rPr>
                <w:rFonts w:ascii="Calibri" w:hAnsi="Calibri" w:cs="Calibri"/>
                <w:sz w:val="22"/>
                <w:szCs w:val="22"/>
              </w:rPr>
              <w:t>Deliverables:</w:t>
            </w:r>
          </w:p>
        </w:tc>
        <w:tc>
          <w:tcPr>
            <w:tcW w:w="7920" w:type="dxa"/>
            <w:shd w:val="clear" w:color="auto" w:fill="auto"/>
          </w:tcPr>
          <w:p w14:paraId="6AECFD7E" w14:textId="75298216" w:rsidR="00E236B3" w:rsidRPr="00997210" w:rsidRDefault="00E66068" w:rsidP="00997210">
            <w:pPr>
              <w:rPr>
                <w:rFonts w:ascii="Calibri" w:hAnsi="Calibri" w:cs="Calibri"/>
                <w:sz w:val="22"/>
                <w:szCs w:val="22"/>
              </w:rPr>
            </w:pPr>
            <w:bookmarkStart w:id="3" w:name="_Hlk84946816"/>
            <w:bookmarkStart w:id="4" w:name="_Hlk84946357"/>
            <w:r w:rsidRPr="00997210">
              <w:rPr>
                <w:rFonts w:ascii="Calibri" w:hAnsi="Calibri" w:cs="Calibri"/>
                <w:sz w:val="22"/>
                <w:szCs w:val="22"/>
                <w:u w:val="single"/>
              </w:rPr>
              <w:t>Deliverable 1</w:t>
            </w:r>
            <w:r w:rsidRPr="00997210">
              <w:rPr>
                <w:rFonts w:ascii="Calibri" w:hAnsi="Calibri" w:cs="Calibri"/>
                <w:sz w:val="22"/>
                <w:szCs w:val="22"/>
              </w:rPr>
              <w:t xml:space="preserve"> - </w:t>
            </w:r>
            <w:r w:rsidR="00997210" w:rsidRPr="00997210">
              <w:rPr>
                <w:rFonts w:ascii="Calibri" w:hAnsi="Calibri" w:cs="Calibri"/>
                <w:sz w:val="22"/>
                <w:szCs w:val="22"/>
              </w:rPr>
              <w:t xml:space="preserve">Inception Report </w:t>
            </w:r>
            <w:r w:rsidRPr="00997210">
              <w:rPr>
                <w:rFonts w:ascii="Calibri" w:hAnsi="Calibri" w:cs="Calibri"/>
                <w:sz w:val="22"/>
                <w:szCs w:val="22"/>
              </w:rPr>
              <w:t xml:space="preserve">by </w:t>
            </w:r>
            <w:r w:rsidR="00DD3CCA">
              <w:rPr>
                <w:rFonts w:ascii="Calibri" w:hAnsi="Calibri" w:cs="Calibri"/>
                <w:sz w:val="22"/>
                <w:szCs w:val="22"/>
              </w:rPr>
              <w:t>February</w:t>
            </w:r>
            <w:r w:rsidRPr="00997210">
              <w:rPr>
                <w:rFonts w:ascii="Calibri" w:hAnsi="Calibri" w:cs="Calibri"/>
                <w:sz w:val="22"/>
                <w:szCs w:val="22"/>
              </w:rPr>
              <w:t xml:space="preserve"> </w:t>
            </w:r>
            <w:r w:rsidR="00A82416">
              <w:rPr>
                <w:rFonts w:ascii="Calibri" w:hAnsi="Calibri" w:cs="Calibri"/>
                <w:sz w:val="22"/>
                <w:szCs w:val="22"/>
              </w:rPr>
              <w:t>21</w:t>
            </w:r>
            <w:r w:rsidRPr="00997210">
              <w:rPr>
                <w:rFonts w:ascii="Calibri" w:hAnsi="Calibri" w:cs="Calibri"/>
                <w:sz w:val="22"/>
                <w:szCs w:val="22"/>
              </w:rPr>
              <w:t>, 202</w:t>
            </w:r>
            <w:r w:rsidR="00DD3CCA">
              <w:rPr>
                <w:rFonts w:ascii="Calibri" w:hAnsi="Calibri" w:cs="Calibri"/>
                <w:sz w:val="22"/>
                <w:szCs w:val="22"/>
              </w:rPr>
              <w:t>3</w:t>
            </w:r>
            <w:r w:rsidR="00997210" w:rsidRPr="00997210">
              <w:rPr>
                <w:rFonts w:ascii="Calibri" w:hAnsi="Calibri" w:cs="Calibri"/>
                <w:sz w:val="22"/>
                <w:szCs w:val="22"/>
              </w:rPr>
              <w:t>;</w:t>
            </w:r>
          </w:p>
          <w:p w14:paraId="6EAC8A75" w14:textId="7C06FBD7" w:rsidR="00874675" w:rsidRPr="00997210" w:rsidRDefault="00E236B3" w:rsidP="00997210">
            <w:pPr>
              <w:rPr>
                <w:rFonts w:ascii="Calibri" w:hAnsi="Calibri" w:cs="Calibri"/>
                <w:bCs/>
                <w:sz w:val="22"/>
                <w:szCs w:val="22"/>
              </w:rPr>
            </w:pPr>
            <w:r w:rsidRPr="00997210">
              <w:rPr>
                <w:rFonts w:ascii="Calibri" w:hAnsi="Calibri" w:cs="Calibri"/>
                <w:sz w:val="22"/>
                <w:szCs w:val="22"/>
                <w:u w:val="single"/>
              </w:rPr>
              <w:t>Deliverable 2</w:t>
            </w:r>
            <w:r w:rsidRPr="00997210">
              <w:rPr>
                <w:rFonts w:ascii="Calibri" w:hAnsi="Calibri" w:cs="Calibri"/>
                <w:sz w:val="22"/>
                <w:szCs w:val="22"/>
              </w:rPr>
              <w:t xml:space="preserve"> </w:t>
            </w:r>
            <w:r w:rsidR="00997210" w:rsidRPr="00997210">
              <w:rPr>
                <w:rFonts w:ascii="Calibri" w:hAnsi="Calibri" w:cs="Calibri"/>
                <w:sz w:val="22"/>
                <w:szCs w:val="22"/>
              </w:rPr>
              <w:t>–</w:t>
            </w:r>
            <w:r w:rsidRPr="00997210">
              <w:rPr>
                <w:rFonts w:ascii="Calibri" w:hAnsi="Calibri" w:cs="Calibri"/>
                <w:sz w:val="22"/>
                <w:szCs w:val="22"/>
              </w:rPr>
              <w:t xml:space="preserve"> </w:t>
            </w:r>
            <w:r w:rsidR="00997210" w:rsidRPr="00997210">
              <w:rPr>
                <w:rFonts w:ascii="Calibri" w:hAnsi="Calibri" w:cs="Calibri"/>
                <w:sz w:val="22"/>
                <w:szCs w:val="22"/>
              </w:rPr>
              <w:t xml:space="preserve">Draft Assessment Report and Presentation of the report </w:t>
            </w:r>
            <w:r w:rsidRPr="00997210">
              <w:rPr>
                <w:rFonts w:ascii="Calibri" w:hAnsi="Calibri" w:cs="Calibri"/>
                <w:bCs/>
                <w:sz w:val="22"/>
                <w:szCs w:val="22"/>
              </w:rPr>
              <w:t xml:space="preserve">by </w:t>
            </w:r>
            <w:r w:rsidR="00DD3CCA">
              <w:rPr>
                <w:rFonts w:ascii="Calibri" w:hAnsi="Calibri" w:cs="Calibri"/>
                <w:bCs/>
                <w:sz w:val="22"/>
                <w:szCs w:val="22"/>
              </w:rPr>
              <w:t>March 1</w:t>
            </w:r>
            <w:r w:rsidR="00A82416">
              <w:rPr>
                <w:rFonts w:ascii="Calibri" w:hAnsi="Calibri" w:cs="Calibri"/>
                <w:bCs/>
                <w:sz w:val="22"/>
                <w:szCs w:val="22"/>
              </w:rPr>
              <w:t>5</w:t>
            </w:r>
            <w:r w:rsidRPr="00997210">
              <w:rPr>
                <w:rFonts w:ascii="Calibri" w:hAnsi="Calibri" w:cs="Calibri"/>
                <w:bCs/>
                <w:sz w:val="22"/>
                <w:szCs w:val="22"/>
              </w:rPr>
              <w:t>, 202</w:t>
            </w:r>
            <w:r w:rsidR="00DD3CCA">
              <w:rPr>
                <w:rFonts w:ascii="Calibri" w:hAnsi="Calibri" w:cs="Calibri"/>
                <w:bCs/>
                <w:sz w:val="22"/>
                <w:szCs w:val="22"/>
              </w:rPr>
              <w:t>3</w:t>
            </w:r>
            <w:r w:rsidR="00997210" w:rsidRPr="00997210">
              <w:rPr>
                <w:rFonts w:ascii="Calibri" w:hAnsi="Calibri" w:cs="Calibri"/>
                <w:bCs/>
                <w:sz w:val="22"/>
                <w:szCs w:val="22"/>
              </w:rPr>
              <w:t>;</w:t>
            </w:r>
          </w:p>
          <w:p w14:paraId="3F80E805" w14:textId="5227CD2C" w:rsidR="00997210" w:rsidRPr="00997210" w:rsidRDefault="00E236B3" w:rsidP="00997210">
            <w:pPr>
              <w:rPr>
                <w:rFonts w:ascii="Calibri" w:hAnsi="Calibri" w:cs="Calibri"/>
                <w:bCs/>
                <w:sz w:val="22"/>
                <w:szCs w:val="22"/>
              </w:rPr>
            </w:pPr>
            <w:r w:rsidRPr="00997210">
              <w:rPr>
                <w:rFonts w:ascii="Calibri" w:hAnsi="Calibri" w:cs="Calibri"/>
                <w:sz w:val="22"/>
                <w:szCs w:val="22"/>
                <w:u w:val="single"/>
              </w:rPr>
              <w:t>Deliverable 3</w:t>
            </w:r>
            <w:r w:rsidRPr="00997210">
              <w:rPr>
                <w:rFonts w:ascii="Calibri" w:hAnsi="Calibri" w:cs="Calibri"/>
                <w:sz w:val="22"/>
                <w:szCs w:val="22"/>
              </w:rPr>
              <w:t xml:space="preserve"> </w:t>
            </w:r>
            <w:r w:rsidR="00997210" w:rsidRPr="00997210">
              <w:rPr>
                <w:rFonts w:ascii="Calibri" w:hAnsi="Calibri" w:cs="Calibri"/>
                <w:sz w:val="22"/>
                <w:szCs w:val="22"/>
              </w:rPr>
              <w:t>–</w:t>
            </w:r>
            <w:r w:rsidRPr="00997210">
              <w:rPr>
                <w:rFonts w:ascii="Calibri" w:hAnsi="Calibri" w:cs="Calibri"/>
                <w:sz w:val="22"/>
                <w:szCs w:val="22"/>
              </w:rPr>
              <w:t xml:space="preserve"> </w:t>
            </w:r>
            <w:r w:rsidR="00997210" w:rsidRPr="00997210">
              <w:rPr>
                <w:rFonts w:ascii="Calibri" w:hAnsi="Calibri" w:cs="Calibri"/>
                <w:sz w:val="22"/>
                <w:szCs w:val="22"/>
              </w:rPr>
              <w:t xml:space="preserve">Finalized Assessment Report </w:t>
            </w:r>
            <w:r w:rsidRPr="00997210">
              <w:rPr>
                <w:rFonts w:ascii="Calibri" w:hAnsi="Calibri" w:cs="Calibri"/>
                <w:bCs/>
                <w:sz w:val="22"/>
                <w:szCs w:val="22"/>
              </w:rPr>
              <w:t xml:space="preserve">by </w:t>
            </w:r>
            <w:r w:rsidR="00DD3CCA">
              <w:rPr>
                <w:rFonts w:ascii="Calibri" w:hAnsi="Calibri" w:cs="Calibri"/>
                <w:bCs/>
                <w:sz w:val="22"/>
                <w:szCs w:val="22"/>
                <w:lang w:val="en-US"/>
              </w:rPr>
              <w:t>March</w:t>
            </w:r>
            <w:r w:rsidR="003D2BEF">
              <w:rPr>
                <w:rFonts w:ascii="Calibri" w:hAnsi="Calibri" w:cs="Calibri"/>
                <w:bCs/>
                <w:sz w:val="22"/>
                <w:szCs w:val="22"/>
                <w:lang w:val="en-US"/>
              </w:rPr>
              <w:t xml:space="preserve"> </w:t>
            </w:r>
            <w:r w:rsidR="00DD3CCA">
              <w:rPr>
                <w:rFonts w:ascii="Calibri" w:hAnsi="Calibri" w:cs="Calibri"/>
                <w:bCs/>
                <w:sz w:val="22"/>
                <w:szCs w:val="22"/>
                <w:lang w:val="en-US"/>
              </w:rPr>
              <w:t>31,</w:t>
            </w:r>
            <w:r w:rsidRPr="00997210">
              <w:rPr>
                <w:rFonts w:ascii="Calibri" w:hAnsi="Calibri" w:cs="Calibri"/>
                <w:bCs/>
                <w:sz w:val="22"/>
                <w:szCs w:val="22"/>
              </w:rPr>
              <w:t xml:space="preserve"> 202</w:t>
            </w:r>
            <w:r w:rsidR="00874675" w:rsidRPr="00997210">
              <w:rPr>
                <w:rFonts w:ascii="Calibri" w:hAnsi="Calibri" w:cs="Calibri"/>
                <w:bCs/>
                <w:sz w:val="22"/>
                <w:szCs w:val="22"/>
              </w:rPr>
              <w:t>3</w:t>
            </w:r>
            <w:r w:rsidR="00997210" w:rsidRPr="00997210">
              <w:rPr>
                <w:rFonts w:ascii="Calibri" w:hAnsi="Calibri" w:cs="Calibri"/>
                <w:bCs/>
                <w:sz w:val="22"/>
                <w:szCs w:val="22"/>
              </w:rPr>
              <w:t>;</w:t>
            </w:r>
          </w:p>
          <w:p w14:paraId="2493CA5A" w14:textId="1B9E0A68" w:rsidR="002C532B" w:rsidRDefault="00997210" w:rsidP="00997210">
            <w:pPr>
              <w:rPr>
                <w:rFonts w:ascii="Calibri" w:hAnsi="Calibri" w:cs="Calibri"/>
                <w:sz w:val="22"/>
                <w:szCs w:val="22"/>
              </w:rPr>
            </w:pPr>
            <w:r w:rsidRPr="00997210">
              <w:rPr>
                <w:rFonts w:ascii="Calibri" w:hAnsi="Calibri" w:cs="Calibri"/>
                <w:sz w:val="22"/>
                <w:szCs w:val="22"/>
                <w:u w:val="single"/>
              </w:rPr>
              <w:t>Deliverable 4</w:t>
            </w:r>
            <w:r>
              <w:rPr>
                <w:rFonts w:ascii="Calibri" w:hAnsi="Calibri" w:cs="Calibri"/>
                <w:sz w:val="22"/>
                <w:szCs w:val="22"/>
              </w:rPr>
              <w:t xml:space="preserve"> </w:t>
            </w:r>
            <w:r w:rsidRPr="00997210">
              <w:rPr>
                <w:rFonts w:ascii="Calibri" w:hAnsi="Calibri" w:cs="Calibri"/>
                <w:sz w:val="22"/>
                <w:szCs w:val="22"/>
              </w:rPr>
              <w:t>–</w:t>
            </w:r>
            <w:r>
              <w:rPr>
                <w:rFonts w:ascii="Calibri" w:hAnsi="Calibri" w:cs="Calibri"/>
                <w:sz w:val="22"/>
                <w:szCs w:val="22"/>
              </w:rPr>
              <w:t xml:space="preserve"> </w:t>
            </w:r>
            <w:r w:rsidRPr="00997210">
              <w:rPr>
                <w:rFonts w:ascii="Calibri" w:hAnsi="Calibri" w:cs="Calibri"/>
                <w:sz w:val="22"/>
                <w:szCs w:val="22"/>
              </w:rPr>
              <w:t>Fi</w:t>
            </w:r>
            <w:r w:rsidR="00874675" w:rsidRPr="00997210">
              <w:rPr>
                <w:rFonts w:ascii="Calibri" w:hAnsi="Calibri" w:cs="Calibri"/>
                <w:sz w:val="22"/>
                <w:szCs w:val="22"/>
              </w:rPr>
              <w:t>nal consultancy report</w:t>
            </w:r>
            <w:r>
              <w:rPr>
                <w:rFonts w:ascii="Calibri" w:hAnsi="Calibri" w:cs="Calibri"/>
                <w:sz w:val="22"/>
                <w:szCs w:val="22"/>
              </w:rPr>
              <w:t xml:space="preserve"> </w:t>
            </w:r>
            <w:r w:rsidRPr="00997210">
              <w:rPr>
                <w:rFonts w:ascii="Calibri" w:hAnsi="Calibri" w:cs="Calibri"/>
                <w:bCs/>
                <w:sz w:val="22"/>
                <w:szCs w:val="22"/>
              </w:rPr>
              <w:t xml:space="preserve">by </w:t>
            </w:r>
            <w:r w:rsidR="00A82416">
              <w:rPr>
                <w:rFonts w:ascii="Calibri" w:hAnsi="Calibri" w:cs="Calibri"/>
                <w:bCs/>
                <w:sz w:val="22"/>
                <w:szCs w:val="22"/>
              </w:rPr>
              <w:t>April 7,</w:t>
            </w:r>
            <w:r w:rsidRPr="00997210">
              <w:rPr>
                <w:rFonts w:ascii="Calibri" w:hAnsi="Calibri" w:cs="Calibri"/>
                <w:bCs/>
                <w:sz w:val="22"/>
                <w:szCs w:val="22"/>
              </w:rPr>
              <w:t xml:space="preserve"> 2023</w:t>
            </w:r>
            <w:r w:rsidR="00E236B3" w:rsidRPr="00997210">
              <w:rPr>
                <w:rFonts w:ascii="Calibri" w:hAnsi="Calibri" w:cs="Calibri"/>
                <w:sz w:val="22"/>
                <w:szCs w:val="22"/>
              </w:rPr>
              <w:t>.</w:t>
            </w:r>
            <w:bookmarkEnd w:id="3"/>
            <w:bookmarkEnd w:id="4"/>
          </w:p>
          <w:p w14:paraId="178D3FF0" w14:textId="4138369C" w:rsidR="00997210" w:rsidRPr="00874675" w:rsidRDefault="00997210" w:rsidP="00997210">
            <w:pPr>
              <w:rPr>
                <w:rFonts w:ascii="Calibri" w:hAnsi="Calibri" w:cs="Calibri"/>
                <w:sz w:val="22"/>
                <w:szCs w:val="22"/>
              </w:rPr>
            </w:pPr>
          </w:p>
        </w:tc>
      </w:tr>
      <w:tr w:rsidR="00956D7D" w:rsidRPr="00E83345" w14:paraId="79FEA874" w14:textId="77777777" w:rsidTr="002871E4">
        <w:tblPrEx>
          <w:tblCellMar>
            <w:left w:w="148" w:type="dxa"/>
            <w:right w:w="148" w:type="dxa"/>
          </w:tblCellMar>
        </w:tblPrEx>
        <w:trPr>
          <w:trHeight w:val="70"/>
        </w:trPr>
        <w:tc>
          <w:tcPr>
            <w:tcW w:w="2790" w:type="dxa"/>
            <w:shd w:val="clear" w:color="auto" w:fill="auto"/>
          </w:tcPr>
          <w:p w14:paraId="7EC75C64" w14:textId="7F8D10FF" w:rsidR="00956D7D" w:rsidRPr="00E83345" w:rsidRDefault="00956D7D" w:rsidP="00956D7D">
            <w:pPr>
              <w:tabs>
                <w:tab w:val="left" w:pos="-720"/>
              </w:tabs>
              <w:suppressAutoHyphens/>
              <w:spacing w:before="40" w:after="54"/>
              <w:rPr>
                <w:rFonts w:ascii="Calibri" w:hAnsi="Calibri" w:cs="Calibri"/>
                <w:sz w:val="22"/>
                <w:szCs w:val="22"/>
              </w:rPr>
            </w:pPr>
            <w:r w:rsidRPr="00E83345">
              <w:rPr>
                <w:rFonts w:ascii="Calibri" w:hAnsi="Calibri" w:cs="Calibri"/>
                <w:sz w:val="22"/>
                <w:szCs w:val="22"/>
              </w:rPr>
              <w:t xml:space="preserve">Duration </w:t>
            </w:r>
            <w:r w:rsidR="00B50C40" w:rsidRPr="00E83345">
              <w:rPr>
                <w:rFonts w:ascii="Calibri" w:hAnsi="Calibri" w:cs="Calibri"/>
                <w:sz w:val="22"/>
                <w:szCs w:val="22"/>
              </w:rPr>
              <w:t>and working schedule</w:t>
            </w:r>
          </w:p>
        </w:tc>
        <w:tc>
          <w:tcPr>
            <w:tcW w:w="7920" w:type="dxa"/>
            <w:shd w:val="clear" w:color="auto" w:fill="auto"/>
          </w:tcPr>
          <w:p w14:paraId="41306E27" w14:textId="546D49FA" w:rsidR="00956D7D" w:rsidRPr="00E83345" w:rsidRDefault="00447ACB" w:rsidP="002871E4">
            <w:pPr>
              <w:tabs>
                <w:tab w:val="left" w:pos="-720"/>
              </w:tabs>
              <w:suppressAutoHyphens/>
              <w:spacing w:before="40" w:after="54"/>
              <w:ind w:left="12"/>
              <w:jc w:val="both"/>
              <w:rPr>
                <w:rFonts w:ascii="Calibri" w:hAnsi="Calibri" w:cs="Calibri"/>
                <w:sz w:val="22"/>
                <w:szCs w:val="22"/>
              </w:rPr>
            </w:pPr>
            <w:r w:rsidRPr="00E83345">
              <w:rPr>
                <w:rFonts w:ascii="Calibri" w:hAnsi="Calibri" w:cs="Calibri"/>
                <w:sz w:val="22"/>
                <w:szCs w:val="22"/>
                <w:lang w:val="en-US"/>
              </w:rPr>
              <w:t xml:space="preserve">Duration of this consultancy is from </w:t>
            </w:r>
            <w:r w:rsidR="00DD3CCA">
              <w:rPr>
                <w:rFonts w:ascii="Calibri" w:hAnsi="Calibri" w:cs="Calibri"/>
                <w:sz w:val="22"/>
                <w:szCs w:val="22"/>
                <w:lang w:val="en-US"/>
              </w:rPr>
              <w:t>February 1</w:t>
            </w:r>
            <w:r w:rsidR="00A82416">
              <w:rPr>
                <w:rFonts w:ascii="Calibri" w:hAnsi="Calibri" w:cs="Calibri"/>
                <w:sz w:val="22"/>
                <w:szCs w:val="22"/>
                <w:lang w:val="en-US"/>
              </w:rPr>
              <w:t>3</w:t>
            </w:r>
            <w:r w:rsidRPr="00E83345">
              <w:rPr>
                <w:rFonts w:ascii="Calibri" w:hAnsi="Calibri" w:cs="Calibri"/>
                <w:sz w:val="22"/>
                <w:szCs w:val="22"/>
                <w:lang w:val="en-US"/>
              </w:rPr>
              <w:t>, 202</w:t>
            </w:r>
            <w:r w:rsidR="00DD3CCA">
              <w:rPr>
                <w:rFonts w:ascii="Calibri" w:hAnsi="Calibri" w:cs="Calibri"/>
                <w:sz w:val="22"/>
                <w:szCs w:val="22"/>
                <w:lang w:val="en-US"/>
              </w:rPr>
              <w:t>3</w:t>
            </w:r>
            <w:r w:rsidRPr="00E83345">
              <w:rPr>
                <w:rFonts w:ascii="Calibri" w:hAnsi="Calibri" w:cs="Calibri"/>
                <w:sz w:val="22"/>
                <w:szCs w:val="22"/>
                <w:lang w:val="en-US"/>
              </w:rPr>
              <w:t xml:space="preserve"> to </w:t>
            </w:r>
            <w:r w:rsidR="00A82416">
              <w:rPr>
                <w:rFonts w:ascii="Calibri" w:hAnsi="Calibri" w:cs="Calibri"/>
                <w:sz w:val="22"/>
                <w:szCs w:val="22"/>
                <w:lang w:val="en-US"/>
              </w:rPr>
              <w:t>April 10</w:t>
            </w:r>
            <w:r w:rsidRPr="00E83345">
              <w:rPr>
                <w:rFonts w:ascii="Calibri" w:hAnsi="Calibri" w:cs="Calibri"/>
                <w:sz w:val="22"/>
                <w:szCs w:val="22"/>
                <w:lang w:val="en-US"/>
              </w:rPr>
              <w:t>, 202</w:t>
            </w:r>
            <w:r w:rsidR="00874675">
              <w:rPr>
                <w:rFonts w:ascii="Calibri" w:hAnsi="Calibri" w:cs="Calibri"/>
                <w:sz w:val="22"/>
                <w:szCs w:val="22"/>
                <w:lang w:val="en-US"/>
              </w:rPr>
              <w:t>3</w:t>
            </w:r>
            <w:r w:rsidRPr="00E83345">
              <w:rPr>
                <w:rFonts w:ascii="Calibri" w:hAnsi="Calibri" w:cs="Calibri"/>
                <w:sz w:val="22"/>
                <w:szCs w:val="22"/>
                <w:lang w:val="en-US"/>
              </w:rPr>
              <w:t xml:space="preserve"> including operational closure of the contract.</w:t>
            </w:r>
          </w:p>
        </w:tc>
      </w:tr>
      <w:tr w:rsidR="00956D7D" w:rsidRPr="00E83345" w14:paraId="5335B343" w14:textId="77777777" w:rsidTr="002871E4">
        <w:tblPrEx>
          <w:tblCellMar>
            <w:left w:w="148" w:type="dxa"/>
            <w:right w:w="148" w:type="dxa"/>
          </w:tblCellMar>
        </w:tblPrEx>
        <w:trPr>
          <w:trHeight w:val="70"/>
        </w:trPr>
        <w:tc>
          <w:tcPr>
            <w:tcW w:w="2790" w:type="dxa"/>
            <w:shd w:val="clear" w:color="auto" w:fill="auto"/>
          </w:tcPr>
          <w:p w14:paraId="675B3BB0" w14:textId="77777777" w:rsidR="00956D7D" w:rsidRPr="00E83345" w:rsidRDefault="00956D7D" w:rsidP="00956D7D">
            <w:pPr>
              <w:tabs>
                <w:tab w:val="left" w:pos="-720"/>
              </w:tabs>
              <w:suppressAutoHyphens/>
              <w:spacing w:before="40" w:after="54"/>
              <w:rPr>
                <w:rFonts w:ascii="Calibri" w:hAnsi="Calibri" w:cs="Calibri"/>
                <w:sz w:val="22"/>
                <w:szCs w:val="22"/>
              </w:rPr>
            </w:pPr>
            <w:r w:rsidRPr="00E83345">
              <w:rPr>
                <w:rFonts w:ascii="Calibri" w:hAnsi="Calibri" w:cs="Calibri"/>
                <w:sz w:val="22"/>
                <w:szCs w:val="22"/>
              </w:rPr>
              <w:t>Place where services are to be delivered:</w:t>
            </w:r>
          </w:p>
        </w:tc>
        <w:tc>
          <w:tcPr>
            <w:tcW w:w="7920" w:type="dxa"/>
            <w:shd w:val="clear" w:color="auto" w:fill="auto"/>
          </w:tcPr>
          <w:p w14:paraId="320DB717" w14:textId="336C845F" w:rsidR="00956D7D" w:rsidRPr="00E83345" w:rsidRDefault="00956D7D" w:rsidP="00956D7D">
            <w:pPr>
              <w:tabs>
                <w:tab w:val="left" w:pos="-720"/>
              </w:tabs>
              <w:suppressAutoHyphens/>
              <w:spacing w:before="40" w:after="54"/>
              <w:rPr>
                <w:rFonts w:ascii="Calibri" w:hAnsi="Calibri" w:cs="Calibri"/>
                <w:sz w:val="22"/>
                <w:szCs w:val="22"/>
              </w:rPr>
            </w:pPr>
            <w:r w:rsidRPr="00E83345">
              <w:rPr>
                <w:rFonts w:ascii="Calibri" w:hAnsi="Calibri" w:cs="Calibri"/>
                <w:sz w:val="22"/>
                <w:szCs w:val="22"/>
              </w:rPr>
              <w:t>The consultancy services will need to be delivered on a home-based mode</w:t>
            </w:r>
            <w:r w:rsidR="00874675">
              <w:rPr>
                <w:rFonts w:ascii="Calibri" w:hAnsi="Calibri" w:cs="Calibri"/>
                <w:sz w:val="22"/>
                <w:szCs w:val="22"/>
              </w:rPr>
              <w:t>.</w:t>
            </w:r>
          </w:p>
        </w:tc>
      </w:tr>
      <w:tr w:rsidR="004F46C6" w:rsidRPr="00E83345" w14:paraId="01A9807B" w14:textId="77777777" w:rsidTr="002871E4">
        <w:tblPrEx>
          <w:tblCellMar>
            <w:left w:w="148" w:type="dxa"/>
            <w:right w:w="148" w:type="dxa"/>
          </w:tblCellMar>
        </w:tblPrEx>
        <w:trPr>
          <w:trHeight w:val="70"/>
        </w:trPr>
        <w:tc>
          <w:tcPr>
            <w:tcW w:w="2790" w:type="dxa"/>
            <w:shd w:val="clear" w:color="auto" w:fill="auto"/>
          </w:tcPr>
          <w:p w14:paraId="20F6C9EA" w14:textId="77777777" w:rsidR="004F46C6" w:rsidRPr="00E83345" w:rsidRDefault="004F46C6"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t>Monitoring and progress control, including reporting requirements, periodicity format and deadline:</w:t>
            </w:r>
          </w:p>
        </w:tc>
        <w:tc>
          <w:tcPr>
            <w:tcW w:w="7920" w:type="dxa"/>
            <w:shd w:val="clear" w:color="auto" w:fill="auto"/>
          </w:tcPr>
          <w:p w14:paraId="2A545E11" w14:textId="75B63BA1" w:rsidR="004F46C6" w:rsidRPr="00E83345" w:rsidRDefault="004F46C6" w:rsidP="002871E4">
            <w:pPr>
              <w:tabs>
                <w:tab w:val="left" w:pos="-720"/>
              </w:tabs>
              <w:suppressAutoHyphens/>
              <w:spacing w:before="40" w:after="54"/>
              <w:rPr>
                <w:rFonts w:ascii="Calibri" w:hAnsi="Calibri" w:cs="Calibri"/>
                <w:sz w:val="22"/>
                <w:szCs w:val="22"/>
              </w:rPr>
            </w:pPr>
            <w:r w:rsidRPr="00E83345">
              <w:rPr>
                <w:rFonts w:ascii="Calibri" w:hAnsi="Calibri" w:cs="Calibri"/>
                <w:sz w:val="22"/>
                <w:szCs w:val="22"/>
                <w:lang w:val="en-US"/>
              </w:rPr>
              <w:t xml:space="preserve">The UNFPA Programme Analyst on Gender and Youth will monitor the International Consultant’s work through </w:t>
            </w:r>
            <w:r w:rsidR="00E83345" w:rsidRPr="00E83345">
              <w:rPr>
                <w:rFonts w:ascii="Calibri" w:hAnsi="Calibri" w:cs="Calibri"/>
                <w:sz w:val="22"/>
                <w:szCs w:val="22"/>
                <w:lang w:val="en-US"/>
              </w:rPr>
              <w:t xml:space="preserve">regular meeting to update on the progress, </w:t>
            </w:r>
            <w:r w:rsidRPr="00E83345">
              <w:rPr>
                <w:rFonts w:ascii="Calibri" w:hAnsi="Calibri" w:cs="Calibri"/>
                <w:sz w:val="22"/>
                <w:szCs w:val="22"/>
                <w:lang w:val="en-US"/>
              </w:rPr>
              <w:t xml:space="preserve">reviewing submitted materials and participation in the meetings. The consultant will provide an </w:t>
            </w:r>
            <w:r w:rsidRPr="00E83345">
              <w:rPr>
                <w:rFonts w:ascii="Calibri" w:hAnsi="Calibri" w:cs="Calibri"/>
                <w:sz w:val="22"/>
                <w:szCs w:val="22"/>
                <w:lang w:val="en-US"/>
              </w:rPr>
              <w:lastRenderedPageBreak/>
              <w:t xml:space="preserve">update on a </w:t>
            </w:r>
            <w:r w:rsidR="00DD3CCA">
              <w:rPr>
                <w:rFonts w:ascii="Calibri" w:hAnsi="Calibri" w:cs="Calibri"/>
                <w:sz w:val="22"/>
                <w:szCs w:val="22"/>
                <w:lang w:val="en-US"/>
              </w:rPr>
              <w:t>bi</w:t>
            </w:r>
            <w:r w:rsidRPr="00E83345">
              <w:rPr>
                <w:rFonts w:ascii="Calibri" w:hAnsi="Calibri" w:cs="Calibri"/>
                <w:sz w:val="22"/>
                <w:szCs w:val="22"/>
                <w:lang w:val="en-US"/>
              </w:rPr>
              <w:t>weekly basis on progress, challenges encountered, and support require</w:t>
            </w:r>
            <w:r w:rsidR="00723870">
              <w:rPr>
                <w:rFonts w:ascii="Calibri" w:hAnsi="Calibri" w:cs="Calibri"/>
                <w:sz w:val="22"/>
                <w:szCs w:val="22"/>
                <w:lang w:val="en-US"/>
              </w:rPr>
              <w:t>d</w:t>
            </w:r>
            <w:r w:rsidRPr="00E83345">
              <w:rPr>
                <w:rFonts w:ascii="Calibri" w:hAnsi="Calibri" w:cs="Calibri"/>
                <w:sz w:val="22"/>
                <w:szCs w:val="22"/>
                <w:lang w:val="en-US"/>
              </w:rPr>
              <w:t>.</w:t>
            </w:r>
          </w:p>
        </w:tc>
      </w:tr>
      <w:tr w:rsidR="004F46C6" w:rsidRPr="00E83345" w14:paraId="6F43E3EA" w14:textId="77777777" w:rsidTr="002871E4">
        <w:tblPrEx>
          <w:tblCellMar>
            <w:left w:w="148" w:type="dxa"/>
            <w:right w:w="148" w:type="dxa"/>
          </w:tblCellMar>
        </w:tblPrEx>
        <w:trPr>
          <w:trHeight w:val="70"/>
        </w:trPr>
        <w:tc>
          <w:tcPr>
            <w:tcW w:w="2790" w:type="dxa"/>
            <w:shd w:val="clear" w:color="auto" w:fill="auto"/>
          </w:tcPr>
          <w:p w14:paraId="5EB29B0A" w14:textId="77777777" w:rsidR="004F46C6" w:rsidRPr="00E83345" w:rsidRDefault="004F46C6"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lastRenderedPageBreak/>
              <w:t xml:space="preserve">Supervisory arrangements: </w:t>
            </w:r>
          </w:p>
        </w:tc>
        <w:tc>
          <w:tcPr>
            <w:tcW w:w="7920" w:type="dxa"/>
            <w:shd w:val="clear" w:color="auto" w:fill="auto"/>
          </w:tcPr>
          <w:p w14:paraId="04F2BCDC" w14:textId="6B1A9815" w:rsidR="004F46C6" w:rsidRPr="00E83345" w:rsidRDefault="004F46C6"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t xml:space="preserve">The </w:t>
            </w:r>
            <w:r w:rsidR="00154154" w:rsidRPr="00E83345">
              <w:rPr>
                <w:rFonts w:ascii="Calibri" w:hAnsi="Calibri" w:cs="Calibri"/>
                <w:sz w:val="22"/>
                <w:szCs w:val="22"/>
              </w:rPr>
              <w:t xml:space="preserve">international </w:t>
            </w:r>
            <w:r w:rsidRPr="00E83345">
              <w:rPr>
                <w:rFonts w:ascii="Calibri" w:hAnsi="Calibri" w:cs="Calibri"/>
                <w:sz w:val="22"/>
                <w:szCs w:val="22"/>
              </w:rPr>
              <w:t xml:space="preserve">consultant will </w:t>
            </w:r>
            <w:r w:rsidR="00A41AAC" w:rsidRPr="00E83345">
              <w:rPr>
                <w:rFonts w:ascii="Calibri" w:hAnsi="Calibri" w:cs="Calibri"/>
                <w:sz w:val="22"/>
                <w:szCs w:val="22"/>
                <w:lang w:val="en-US"/>
              </w:rPr>
              <w:t xml:space="preserve">directly report and </w:t>
            </w:r>
            <w:r w:rsidRPr="00E83345">
              <w:rPr>
                <w:rFonts w:ascii="Calibri" w:hAnsi="Calibri" w:cs="Calibri"/>
                <w:sz w:val="22"/>
                <w:szCs w:val="22"/>
              </w:rPr>
              <w:t xml:space="preserve">work under the supervision of the UNFPA Programme Analyst on Gender and Youth. </w:t>
            </w:r>
          </w:p>
        </w:tc>
      </w:tr>
      <w:tr w:rsidR="004F46C6" w:rsidRPr="00E83345" w14:paraId="735F0B9D" w14:textId="77777777" w:rsidTr="002871E4">
        <w:tblPrEx>
          <w:tblCellMar>
            <w:left w:w="148" w:type="dxa"/>
            <w:right w:w="148" w:type="dxa"/>
          </w:tblCellMar>
        </w:tblPrEx>
        <w:trPr>
          <w:trHeight w:val="415"/>
        </w:trPr>
        <w:tc>
          <w:tcPr>
            <w:tcW w:w="2790" w:type="dxa"/>
            <w:shd w:val="clear" w:color="auto" w:fill="auto"/>
          </w:tcPr>
          <w:p w14:paraId="1A8B775B" w14:textId="77777777" w:rsidR="004F46C6" w:rsidRPr="00E83345" w:rsidRDefault="004F46C6"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t>Expected travel:</w:t>
            </w:r>
          </w:p>
        </w:tc>
        <w:tc>
          <w:tcPr>
            <w:tcW w:w="7920" w:type="dxa"/>
            <w:shd w:val="clear" w:color="auto" w:fill="auto"/>
          </w:tcPr>
          <w:p w14:paraId="736E8E89" w14:textId="304F2576" w:rsidR="004F46C6" w:rsidRPr="00E83345" w:rsidRDefault="00997210" w:rsidP="004F46C6">
            <w:pPr>
              <w:tabs>
                <w:tab w:val="left" w:pos="-720"/>
              </w:tabs>
              <w:suppressAutoHyphens/>
              <w:spacing w:before="40" w:after="54"/>
              <w:rPr>
                <w:rFonts w:ascii="Calibri" w:hAnsi="Calibri" w:cs="Calibri"/>
                <w:sz w:val="22"/>
                <w:szCs w:val="22"/>
              </w:rPr>
            </w:pPr>
            <w:r>
              <w:rPr>
                <w:rFonts w:ascii="Calibri" w:hAnsi="Calibri" w:cs="Calibri"/>
                <w:sz w:val="22"/>
                <w:szCs w:val="22"/>
                <w:lang w:val="en-US"/>
              </w:rPr>
              <w:t>No travel</w:t>
            </w:r>
            <w:r w:rsidR="006A34F5" w:rsidRPr="00E83345">
              <w:rPr>
                <w:rFonts w:ascii="Calibri" w:hAnsi="Calibri" w:cs="Calibri"/>
                <w:sz w:val="22"/>
                <w:szCs w:val="22"/>
                <w:lang w:val="en-US"/>
              </w:rPr>
              <w:t xml:space="preserve"> is expected under this consultancy.</w:t>
            </w:r>
          </w:p>
        </w:tc>
      </w:tr>
      <w:tr w:rsidR="004F46C6" w:rsidRPr="00E83345" w14:paraId="5222F90D" w14:textId="77777777" w:rsidTr="002871E4">
        <w:tblPrEx>
          <w:tblCellMar>
            <w:left w:w="148" w:type="dxa"/>
            <w:right w:w="148" w:type="dxa"/>
          </w:tblCellMar>
        </w:tblPrEx>
        <w:trPr>
          <w:trHeight w:val="70"/>
        </w:trPr>
        <w:tc>
          <w:tcPr>
            <w:tcW w:w="2790" w:type="dxa"/>
            <w:shd w:val="clear" w:color="auto" w:fill="auto"/>
          </w:tcPr>
          <w:p w14:paraId="204D6AF7" w14:textId="6745CD6E" w:rsidR="004F46C6" w:rsidRPr="00E83345" w:rsidRDefault="004F46C6"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t>Required expertise, qualifications</w:t>
            </w:r>
            <w:r w:rsidR="00E73BF9" w:rsidRPr="00E83345">
              <w:rPr>
                <w:rFonts w:ascii="Calibri" w:hAnsi="Calibri" w:cs="Calibri"/>
                <w:sz w:val="22"/>
                <w:szCs w:val="22"/>
              </w:rPr>
              <w:t>,</w:t>
            </w:r>
            <w:r w:rsidRPr="00E83345">
              <w:rPr>
                <w:rFonts w:ascii="Calibri" w:hAnsi="Calibri" w:cs="Calibri"/>
                <w:sz w:val="22"/>
                <w:szCs w:val="22"/>
              </w:rPr>
              <w:t xml:space="preserve"> and competencies, including language requirements:</w:t>
            </w:r>
          </w:p>
        </w:tc>
        <w:tc>
          <w:tcPr>
            <w:tcW w:w="7920" w:type="dxa"/>
            <w:shd w:val="clear" w:color="auto" w:fill="auto"/>
          </w:tcPr>
          <w:p w14:paraId="5C50F89D" w14:textId="6BB5185C" w:rsidR="006705C5" w:rsidRPr="00E83345" w:rsidRDefault="007A2B14" w:rsidP="003E5115">
            <w:pPr>
              <w:pStyle w:val="ListParagraph"/>
              <w:numPr>
                <w:ilvl w:val="0"/>
                <w:numId w:val="1"/>
              </w:numPr>
              <w:tabs>
                <w:tab w:val="left" w:pos="-720"/>
              </w:tabs>
              <w:suppressAutoHyphens/>
              <w:spacing w:before="40" w:after="54"/>
              <w:jc w:val="both"/>
              <w:rPr>
                <w:rFonts w:ascii="Calibri" w:hAnsi="Calibri" w:cs="Calibri"/>
                <w:sz w:val="22"/>
                <w:szCs w:val="22"/>
              </w:rPr>
            </w:pPr>
            <w:r>
              <w:rPr>
                <w:rFonts w:ascii="Calibri" w:hAnsi="Calibri" w:cs="Calibri"/>
                <w:sz w:val="22"/>
                <w:szCs w:val="22"/>
              </w:rPr>
              <w:t xml:space="preserve">Advanced </w:t>
            </w:r>
            <w:r w:rsidR="00A96B0A">
              <w:rPr>
                <w:rFonts w:ascii="Calibri" w:hAnsi="Calibri" w:cs="Calibri"/>
                <w:sz w:val="22"/>
                <w:szCs w:val="22"/>
              </w:rPr>
              <w:t>U</w:t>
            </w:r>
            <w:r w:rsidR="003F7BAE" w:rsidRPr="00E83345">
              <w:rPr>
                <w:rFonts w:ascii="Calibri" w:hAnsi="Calibri" w:cs="Calibri"/>
                <w:sz w:val="22"/>
                <w:szCs w:val="22"/>
              </w:rPr>
              <w:t>niversity degree</w:t>
            </w:r>
            <w:r>
              <w:rPr>
                <w:rFonts w:ascii="Calibri" w:hAnsi="Calibri" w:cs="Calibri"/>
                <w:sz w:val="22"/>
                <w:szCs w:val="22"/>
              </w:rPr>
              <w:t xml:space="preserve"> (Master’s)</w:t>
            </w:r>
            <w:r w:rsidR="003F7BAE" w:rsidRPr="00E83345">
              <w:rPr>
                <w:rFonts w:ascii="Calibri" w:hAnsi="Calibri" w:cs="Calibri"/>
                <w:sz w:val="22"/>
                <w:szCs w:val="22"/>
              </w:rPr>
              <w:t xml:space="preserve"> in a relevant </w:t>
            </w:r>
            <w:r w:rsidR="00723870">
              <w:rPr>
                <w:rFonts w:ascii="Calibri" w:hAnsi="Calibri" w:cs="Calibri"/>
                <w:sz w:val="22"/>
                <w:szCs w:val="22"/>
              </w:rPr>
              <w:t>area</w:t>
            </w:r>
            <w:r w:rsidR="006705C5" w:rsidRPr="00E83345">
              <w:rPr>
                <w:rFonts w:ascii="Calibri" w:hAnsi="Calibri" w:cs="Calibri"/>
                <w:sz w:val="22"/>
                <w:szCs w:val="22"/>
              </w:rPr>
              <w:t>;</w:t>
            </w:r>
          </w:p>
          <w:p w14:paraId="004BE969" w14:textId="39C04DAB" w:rsidR="00A96B0A" w:rsidRPr="00A96B0A" w:rsidRDefault="00A96B0A" w:rsidP="00A96B0A">
            <w:pPr>
              <w:pStyle w:val="ListParagraph"/>
              <w:numPr>
                <w:ilvl w:val="0"/>
                <w:numId w:val="1"/>
              </w:numPr>
              <w:rPr>
                <w:rFonts w:ascii="Calibri" w:hAnsi="Calibri" w:cs="Calibri"/>
                <w:sz w:val="22"/>
                <w:szCs w:val="22"/>
              </w:rPr>
            </w:pPr>
            <w:r w:rsidRPr="00A96B0A">
              <w:rPr>
                <w:rFonts w:ascii="Calibri" w:hAnsi="Calibri" w:cs="Calibri"/>
                <w:sz w:val="22"/>
                <w:szCs w:val="22"/>
              </w:rPr>
              <w:t xml:space="preserve">At least </w:t>
            </w:r>
            <w:r w:rsidR="007A2B14">
              <w:rPr>
                <w:rFonts w:ascii="Calibri" w:hAnsi="Calibri" w:cs="Calibri"/>
                <w:sz w:val="22"/>
                <w:szCs w:val="22"/>
              </w:rPr>
              <w:t>seven</w:t>
            </w:r>
            <w:r w:rsidR="007A2B14" w:rsidRPr="00A96B0A">
              <w:rPr>
                <w:rFonts w:ascii="Calibri" w:hAnsi="Calibri" w:cs="Calibri"/>
                <w:sz w:val="22"/>
                <w:szCs w:val="22"/>
              </w:rPr>
              <w:t xml:space="preserve"> </w:t>
            </w:r>
            <w:r w:rsidRPr="00A96B0A">
              <w:rPr>
                <w:rFonts w:ascii="Calibri" w:hAnsi="Calibri" w:cs="Calibri"/>
                <w:sz w:val="22"/>
                <w:szCs w:val="22"/>
              </w:rPr>
              <w:t xml:space="preserve">years’ experience in </w:t>
            </w:r>
            <w:r>
              <w:rPr>
                <w:rFonts w:ascii="Calibri" w:hAnsi="Calibri" w:cs="Calibri"/>
                <w:sz w:val="22"/>
                <w:szCs w:val="22"/>
              </w:rPr>
              <w:t>assessment and evaluation</w:t>
            </w:r>
            <w:r w:rsidRPr="00A96B0A">
              <w:rPr>
                <w:rFonts w:ascii="Calibri" w:hAnsi="Calibri" w:cs="Calibri"/>
                <w:sz w:val="22"/>
                <w:szCs w:val="22"/>
              </w:rPr>
              <w:t>, including experience of designing and implementing theory</w:t>
            </w:r>
            <w:r w:rsidR="00DF2A78">
              <w:rPr>
                <w:rFonts w:ascii="Calibri" w:hAnsi="Calibri" w:cs="Calibri"/>
                <w:sz w:val="22"/>
                <w:szCs w:val="22"/>
              </w:rPr>
              <w:t>-</w:t>
            </w:r>
            <w:r w:rsidRPr="00A96B0A">
              <w:rPr>
                <w:rFonts w:ascii="Calibri" w:hAnsi="Calibri" w:cs="Calibri"/>
                <w:sz w:val="22"/>
                <w:szCs w:val="22"/>
              </w:rPr>
              <w:t xml:space="preserve">based evaluations; </w:t>
            </w:r>
            <w:r>
              <w:rPr>
                <w:rFonts w:ascii="Calibri" w:hAnsi="Calibri" w:cs="Calibri"/>
                <w:sz w:val="22"/>
                <w:szCs w:val="22"/>
              </w:rPr>
              <w:t>assessments</w:t>
            </w:r>
            <w:r w:rsidRPr="00A96B0A">
              <w:rPr>
                <w:rFonts w:ascii="Calibri" w:hAnsi="Calibri" w:cs="Calibri"/>
                <w:sz w:val="22"/>
                <w:szCs w:val="22"/>
              </w:rPr>
              <w:t xml:space="preserve"> using experimental and non-experimental approaches; </w:t>
            </w:r>
          </w:p>
          <w:p w14:paraId="5ACAF4B8" w14:textId="277B850D" w:rsidR="00154154" w:rsidRDefault="00A96B0A" w:rsidP="003E5115">
            <w:pPr>
              <w:pStyle w:val="ListParagraph"/>
              <w:numPr>
                <w:ilvl w:val="0"/>
                <w:numId w:val="1"/>
              </w:numPr>
              <w:tabs>
                <w:tab w:val="left" w:pos="-720"/>
              </w:tabs>
              <w:suppressAutoHyphens/>
              <w:spacing w:before="40" w:after="54"/>
              <w:jc w:val="both"/>
              <w:rPr>
                <w:rFonts w:ascii="Calibri" w:hAnsi="Calibri" w:cs="Calibri"/>
                <w:sz w:val="22"/>
                <w:szCs w:val="22"/>
              </w:rPr>
            </w:pPr>
            <w:r w:rsidRPr="00A96B0A">
              <w:rPr>
                <w:rFonts w:ascii="Calibri" w:hAnsi="Calibri" w:cs="Calibri"/>
                <w:sz w:val="22"/>
                <w:szCs w:val="22"/>
              </w:rPr>
              <w:t xml:space="preserve">Good understanding of </w:t>
            </w:r>
            <w:r>
              <w:rPr>
                <w:rFonts w:ascii="Calibri" w:hAnsi="Calibri" w:cs="Calibri"/>
                <w:sz w:val="22"/>
                <w:szCs w:val="22"/>
              </w:rPr>
              <w:t>youth</w:t>
            </w:r>
            <w:r w:rsidRPr="00A96B0A">
              <w:rPr>
                <w:rFonts w:ascii="Calibri" w:hAnsi="Calibri" w:cs="Calibri"/>
                <w:sz w:val="22"/>
                <w:szCs w:val="22"/>
              </w:rPr>
              <w:t>-sensitive, gender-sensitive</w:t>
            </w:r>
            <w:r>
              <w:rPr>
                <w:rFonts w:ascii="Calibri" w:hAnsi="Calibri" w:cs="Calibri"/>
                <w:sz w:val="22"/>
                <w:szCs w:val="22"/>
              </w:rPr>
              <w:t>, elderly</w:t>
            </w:r>
            <w:r w:rsidRPr="00A96B0A">
              <w:rPr>
                <w:rFonts w:ascii="Calibri" w:hAnsi="Calibri" w:cs="Calibri"/>
                <w:sz w:val="22"/>
                <w:szCs w:val="22"/>
              </w:rPr>
              <w:t xml:space="preserve"> sensitive issues;</w:t>
            </w:r>
          </w:p>
          <w:p w14:paraId="13385348" w14:textId="75B82F23" w:rsidR="00A96B0A" w:rsidRDefault="00A96B0A" w:rsidP="00A96B0A">
            <w:pPr>
              <w:pStyle w:val="ListParagraph"/>
              <w:numPr>
                <w:ilvl w:val="0"/>
                <w:numId w:val="1"/>
              </w:numPr>
              <w:rPr>
                <w:rFonts w:ascii="Calibri" w:hAnsi="Calibri" w:cs="Calibri"/>
                <w:sz w:val="22"/>
                <w:szCs w:val="22"/>
              </w:rPr>
            </w:pPr>
            <w:r>
              <w:rPr>
                <w:rFonts w:ascii="Calibri" w:hAnsi="Calibri" w:cs="Calibri"/>
                <w:sz w:val="22"/>
                <w:szCs w:val="22"/>
              </w:rPr>
              <w:t>F</w:t>
            </w:r>
            <w:r w:rsidRPr="00A96B0A">
              <w:rPr>
                <w:rFonts w:ascii="Calibri" w:hAnsi="Calibri" w:cs="Calibri"/>
                <w:sz w:val="22"/>
                <w:szCs w:val="22"/>
              </w:rPr>
              <w:t xml:space="preserve">amiliarity with </w:t>
            </w:r>
            <w:r>
              <w:rPr>
                <w:rFonts w:ascii="Calibri" w:hAnsi="Calibri" w:cs="Calibri"/>
                <w:sz w:val="22"/>
                <w:szCs w:val="22"/>
              </w:rPr>
              <w:t>UNFPA</w:t>
            </w:r>
            <w:r w:rsidRPr="00A96B0A">
              <w:rPr>
                <w:rFonts w:ascii="Calibri" w:hAnsi="Calibri" w:cs="Calibri"/>
                <w:sz w:val="22"/>
                <w:szCs w:val="22"/>
              </w:rPr>
              <w:t xml:space="preserve"> and the UN system</w:t>
            </w:r>
            <w:r w:rsidR="00723870">
              <w:rPr>
                <w:rFonts w:ascii="Calibri" w:hAnsi="Calibri" w:cs="Calibri"/>
                <w:sz w:val="22"/>
                <w:szCs w:val="22"/>
              </w:rPr>
              <w:t xml:space="preserve"> mandates and programmatic areas</w:t>
            </w:r>
            <w:r w:rsidRPr="00A96B0A">
              <w:rPr>
                <w:rFonts w:ascii="Calibri" w:hAnsi="Calibri" w:cs="Calibri"/>
                <w:sz w:val="22"/>
                <w:szCs w:val="22"/>
              </w:rPr>
              <w:t>;</w:t>
            </w:r>
          </w:p>
          <w:p w14:paraId="672FC18F" w14:textId="77777777" w:rsidR="00A96B0A" w:rsidRPr="00A96B0A" w:rsidRDefault="00A96B0A" w:rsidP="00A96B0A">
            <w:pPr>
              <w:pStyle w:val="ListParagraph"/>
              <w:numPr>
                <w:ilvl w:val="0"/>
                <w:numId w:val="1"/>
              </w:numPr>
              <w:rPr>
                <w:rFonts w:ascii="Calibri" w:hAnsi="Calibri" w:cs="Calibri"/>
                <w:sz w:val="22"/>
                <w:szCs w:val="22"/>
              </w:rPr>
            </w:pPr>
            <w:r w:rsidRPr="00A96B0A">
              <w:rPr>
                <w:rFonts w:ascii="Calibri" w:hAnsi="Calibri" w:cs="Calibri"/>
                <w:sz w:val="22"/>
                <w:szCs w:val="22"/>
              </w:rPr>
              <w:t>Strong analytical skills and statistical data analysis experience;</w:t>
            </w:r>
          </w:p>
          <w:p w14:paraId="2E216C0F" w14:textId="1313AEFA" w:rsidR="00A96B0A" w:rsidRPr="00A96B0A" w:rsidRDefault="00A96B0A" w:rsidP="00A96B0A">
            <w:pPr>
              <w:pStyle w:val="ListParagraph"/>
              <w:numPr>
                <w:ilvl w:val="0"/>
                <w:numId w:val="1"/>
              </w:numPr>
              <w:rPr>
                <w:rFonts w:ascii="Calibri" w:hAnsi="Calibri" w:cs="Calibri"/>
                <w:sz w:val="22"/>
                <w:szCs w:val="22"/>
              </w:rPr>
            </w:pPr>
            <w:r w:rsidRPr="00A96B0A">
              <w:rPr>
                <w:rFonts w:ascii="Calibri" w:hAnsi="Calibri" w:cs="Calibri"/>
                <w:sz w:val="22"/>
                <w:szCs w:val="22"/>
              </w:rPr>
              <w:t>Ability to produce content for high standard deliverables in Russian</w:t>
            </w:r>
            <w:r w:rsidR="00ED73DC">
              <w:rPr>
                <w:rFonts w:ascii="Calibri" w:hAnsi="Calibri" w:cs="Calibri"/>
                <w:sz w:val="22"/>
                <w:szCs w:val="22"/>
              </w:rPr>
              <w:t>, preferably</w:t>
            </w:r>
            <w:r w:rsidRPr="00A96B0A">
              <w:rPr>
                <w:rFonts w:ascii="Calibri" w:hAnsi="Calibri" w:cs="Calibri"/>
                <w:sz w:val="22"/>
                <w:szCs w:val="22"/>
              </w:rPr>
              <w:t>;</w:t>
            </w:r>
          </w:p>
          <w:p w14:paraId="533B3E82" w14:textId="77777777" w:rsidR="00A96B0A" w:rsidRPr="00A96B0A" w:rsidRDefault="00A96B0A" w:rsidP="00A96B0A">
            <w:pPr>
              <w:pStyle w:val="ListParagraph"/>
              <w:numPr>
                <w:ilvl w:val="0"/>
                <w:numId w:val="1"/>
              </w:numPr>
              <w:rPr>
                <w:rFonts w:ascii="Calibri" w:hAnsi="Calibri" w:cs="Calibri"/>
                <w:sz w:val="22"/>
                <w:szCs w:val="22"/>
              </w:rPr>
            </w:pPr>
            <w:r w:rsidRPr="00A96B0A">
              <w:rPr>
                <w:rFonts w:ascii="Calibri" w:hAnsi="Calibri" w:cs="Calibri"/>
                <w:sz w:val="22"/>
                <w:szCs w:val="22"/>
              </w:rPr>
              <w:t xml:space="preserve">Experience conducting remote data collection is an asset; </w:t>
            </w:r>
          </w:p>
          <w:p w14:paraId="798BD8A6" w14:textId="77777777" w:rsidR="00914D99" w:rsidRDefault="00A96B0A" w:rsidP="00914D99">
            <w:pPr>
              <w:pStyle w:val="ListParagraph"/>
              <w:numPr>
                <w:ilvl w:val="0"/>
                <w:numId w:val="1"/>
              </w:numPr>
              <w:rPr>
                <w:rFonts w:ascii="Calibri" w:hAnsi="Calibri" w:cs="Calibri"/>
                <w:sz w:val="22"/>
                <w:szCs w:val="22"/>
              </w:rPr>
            </w:pPr>
            <w:r w:rsidRPr="00A96B0A">
              <w:rPr>
                <w:rFonts w:ascii="Calibri" w:hAnsi="Calibri" w:cs="Calibri"/>
                <w:sz w:val="22"/>
                <w:szCs w:val="22"/>
              </w:rPr>
              <w:t xml:space="preserve">Sensitivity towards ethics with regards to human and </w:t>
            </w:r>
            <w:r>
              <w:rPr>
                <w:rFonts w:ascii="Calibri" w:hAnsi="Calibri" w:cs="Calibri"/>
                <w:sz w:val="22"/>
                <w:szCs w:val="22"/>
              </w:rPr>
              <w:t>gender</w:t>
            </w:r>
            <w:r w:rsidRPr="00A96B0A">
              <w:rPr>
                <w:rFonts w:ascii="Calibri" w:hAnsi="Calibri" w:cs="Calibri"/>
                <w:sz w:val="22"/>
                <w:szCs w:val="22"/>
              </w:rPr>
              <w:t xml:space="preserve"> issues, different cultures, local customs, religious beliefs and practices, personal interaction and gender roles, disability, age and ethnicity.</w:t>
            </w:r>
          </w:p>
          <w:p w14:paraId="6B1F93B7" w14:textId="77777777" w:rsidR="00A96B0A" w:rsidRDefault="000F70EB" w:rsidP="00914D99">
            <w:pPr>
              <w:pStyle w:val="ListParagraph"/>
              <w:numPr>
                <w:ilvl w:val="0"/>
                <w:numId w:val="1"/>
              </w:numPr>
              <w:rPr>
                <w:rFonts w:ascii="Calibri" w:hAnsi="Calibri" w:cs="Calibri"/>
                <w:sz w:val="22"/>
                <w:szCs w:val="22"/>
              </w:rPr>
            </w:pPr>
            <w:r w:rsidRPr="00A96B0A">
              <w:rPr>
                <w:rFonts w:ascii="Calibri" w:hAnsi="Calibri" w:cs="Calibri"/>
                <w:sz w:val="22"/>
                <w:szCs w:val="22"/>
              </w:rPr>
              <w:t xml:space="preserve">Prior experience in Turkmenistan or in Central Asia and knowledge of gender equality </w:t>
            </w:r>
            <w:r w:rsidR="00723870">
              <w:rPr>
                <w:rFonts w:ascii="Calibri" w:hAnsi="Calibri" w:cs="Calibri"/>
                <w:sz w:val="22"/>
                <w:szCs w:val="22"/>
              </w:rPr>
              <w:t>context</w:t>
            </w:r>
            <w:r w:rsidR="00723870" w:rsidRPr="00A96B0A">
              <w:rPr>
                <w:rFonts w:ascii="Calibri" w:hAnsi="Calibri" w:cs="Calibri"/>
                <w:sz w:val="22"/>
                <w:szCs w:val="22"/>
              </w:rPr>
              <w:t xml:space="preserve"> </w:t>
            </w:r>
            <w:r w:rsidRPr="00A96B0A">
              <w:rPr>
                <w:rFonts w:ascii="Calibri" w:hAnsi="Calibri" w:cs="Calibri"/>
                <w:sz w:val="22"/>
                <w:szCs w:val="22"/>
              </w:rPr>
              <w:t>and practices in the region</w:t>
            </w:r>
            <w:r w:rsidR="00A96B0A" w:rsidRPr="00A96B0A">
              <w:rPr>
                <w:rFonts w:ascii="Calibri" w:hAnsi="Calibri" w:cs="Calibri"/>
                <w:sz w:val="22"/>
                <w:szCs w:val="22"/>
              </w:rPr>
              <w:t>.</w:t>
            </w:r>
          </w:p>
          <w:p w14:paraId="5530F48F" w14:textId="51876D59" w:rsidR="00914D99" w:rsidRPr="00914D99" w:rsidRDefault="00914D99" w:rsidP="00914D99">
            <w:pPr>
              <w:pStyle w:val="ListParagraph"/>
              <w:numPr>
                <w:ilvl w:val="0"/>
                <w:numId w:val="1"/>
              </w:numPr>
              <w:tabs>
                <w:tab w:val="left" w:pos="-720"/>
              </w:tabs>
              <w:suppressAutoHyphens/>
              <w:spacing w:before="40" w:after="54"/>
              <w:jc w:val="both"/>
              <w:rPr>
                <w:rFonts w:ascii="Calibri" w:hAnsi="Calibri" w:cs="Calibri"/>
                <w:sz w:val="22"/>
                <w:szCs w:val="22"/>
              </w:rPr>
            </w:pPr>
            <w:r w:rsidRPr="00E83345">
              <w:rPr>
                <w:rFonts w:ascii="Calibri" w:hAnsi="Calibri" w:cs="Calibri"/>
                <w:sz w:val="22"/>
                <w:szCs w:val="22"/>
              </w:rPr>
              <w:t>Fluent in written and spoken English. Knowledge of Russian language will be an advantage</w:t>
            </w:r>
            <w:r>
              <w:rPr>
                <w:rFonts w:ascii="Calibri" w:hAnsi="Calibri" w:cs="Calibri"/>
                <w:sz w:val="22"/>
                <w:szCs w:val="22"/>
              </w:rPr>
              <w:t>.</w:t>
            </w:r>
          </w:p>
        </w:tc>
      </w:tr>
      <w:tr w:rsidR="004F46C6" w:rsidRPr="00E83345" w14:paraId="1F29FCED" w14:textId="77777777" w:rsidTr="002871E4">
        <w:tblPrEx>
          <w:tblCellMar>
            <w:left w:w="148" w:type="dxa"/>
            <w:right w:w="148" w:type="dxa"/>
          </w:tblCellMar>
        </w:tblPrEx>
        <w:trPr>
          <w:trHeight w:val="70"/>
        </w:trPr>
        <w:tc>
          <w:tcPr>
            <w:tcW w:w="2790" w:type="dxa"/>
            <w:shd w:val="clear" w:color="auto" w:fill="auto"/>
          </w:tcPr>
          <w:p w14:paraId="22B93F2B" w14:textId="0EF6E78B" w:rsidR="004F46C6" w:rsidRPr="00E83345" w:rsidRDefault="000F70EB"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t>Inputs / services to be provided by UNFPA or implementing partner (e.g support services, office space, equipment), if applicable:</w:t>
            </w:r>
          </w:p>
        </w:tc>
        <w:tc>
          <w:tcPr>
            <w:tcW w:w="7920" w:type="dxa"/>
            <w:shd w:val="clear" w:color="auto" w:fill="auto"/>
          </w:tcPr>
          <w:p w14:paraId="50531A6F" w14:textId="4606CB6D" w:rsidR="004F46C6" w:rsidRPr="00E83345" w:rsidRDefault="00BF4650" w:rsidP="00E83345">
            <w:pPr>
              <w:tabs>
                <w:tab w:val="left" w:pos="-720"/>
              </w:tabs>
              <w:suppressAutoHyphens/>
              <w:spacing w:before="40" w:after="54"/>
              <w:rPr>
                <w:rFonts w:ascii="Calibri" w:hAnsi="Calibri" w:cs="Calibri"/>
                <w:sz w:val="22"/>
                <w:szCs w:val="22"/>
              </w:rPr>
            </w:pPr>
            <w:r w:rsidRPr="00E83345">
              <w:rPr>
                <w:rFonts w:ascii="Calibri" w:hAnsi="Calibri" w:cs="Calibri"/>
                <w:sz w:val="22"/>
                <w:szCs w:val="22"/>
              </w:rPr>
              <w:t>UNFPA will provide the consultant with the available materials, data, information and reports. However, additional information will be identified by the consultant through desk reviews, consultations, other</w:t>
            </w:r>
            <w:r w:rsidR="000F70EB" w:rsidRPr="00E83345">
              <w:rPr>
                <w:rFonts w:ascii="Calibri" w:hAnsi="Calibri" w:cs="Calibri"/>
                <w:sz w:val="22"/>
                <w:szCs w:val="22"/>
              </w:rPr>
              <w:t>.</w:t>
            </w:r>
          </w:p>
        </w:tc>
      </w:tr>
      <w:tr w:rsidR="004F46C6" w:rsidRPr="00E83345" w14:paraId="6E6236FF" w14:textId="77777777" w:rsidTr="002871E4">
        <w:tblPrEx>
          <w:tblCellMar>
            <w:left w:w="148" w:type="dxa"/>
            <w:right w:w="148" w:type="dxa"/>
          </w:tblCellMar>
        </w:tblPrEx>
        <w:trPr>
          <w:trHeight w:val="70"/>
        </w:trPr>
        <w:tc>
          <w:tcPr>
            <w:tcW w:w="2790" w:type="dxa"/>
            <w:shd w:val="clear" w:color="auto" w:fill="auto"/>
          </w:tcPr>
          <w:p w14:paraId="28D8D974" w14:textId="77777777" w:rsidR="004F46C6" w:rsidRPr="00E83345" w:rsidRDefault="004F46C6" w:rsidP="004F46C6">
            <w:pPr>
              <w:tabs>
                <w:tab w:val="left" w:pos="-720"/>
              </w:tabs>
              <w:suppressAutoHyphens/>
              <w:rPr>
                <w:rFonts w:ascii="Calibri" w:hAnsi="Calibri" w:cs="Calibri"/>
                <w:sz w:val="22"/>
                <w:szCs w:val="22"/>
              </w:rPr>
            </w:pPr>
            <w:r w:rsidRPr="00E83345">
              <w:rPr>
                <w:rFonts w:ascii="Calibri" w:hAnsi="Calibri" w:cs="Calibri"/>
                <w:sz w:val="22"/>
                <w:szCs w:val="22"/>
              </w:rPr>
              <w:t>Other relevant information or special conditions, if any:</w:t>
            </w:r>
          </w:p>
        </w:tc>
        <w:tc>
          <w:tcPr>
            <w:tcW w:w="7920" w:type="dxa"/>
            <w:shd w:val="clear" w:color="auto" w:fill="auto"/>
          </w:tcPr>
          <w:p w14:paraId="4C7B942D" w14:textId="05B675DB" w:rsidR="004069FE" w:rsidRPr="00ED73DC" w:rsidRDefault="004069FE" w:rsidP="00ED73DC">
            <w:pPr>
              <w:tabs>
                <w:tab w:val="left" w:pos="-720"/>
              </w:tabs>
              <w:suppressAutoHyphens/>
              <w:spacing w:before="40" w:after="54"/>
              <w:rPr>
                <w:rFonts w:ascii="Calibri" w:hAnsi="Calibri" w:cs="Calibri"/>
                <w:sz w:val="22"/>
                <w:szCs w:val="22"/>
              </w:rPr>
            </w:pPr>
            <w:bookmarkStart w:id="5" w:name="_Hlk85651609"/>
            <w:r w:rsidRPr="00ED73DC">
              <w:rPr>
                <w:rFonts w:ascii="Calibri" w:hAnsi="Calibri" w:cs="Calibri"/>
                <w:sz w:val="22"/>
                <w:szCs w:val="22"/>
              </w:rPr>
              <w:t>The consultancy fee will be calculated based on the P</w:t>
            </w:r>
            <w:r w:rsidR="007A2B14" w:rsidRPr="00ED73DC">
              <w:rPr>
                <w:rFonts w:ascii="Calibri" w:hAnsi="Calibri" w:cs="Calibri"/>
                <w:sz w:val="22"/>
                <w:szCs w:val="22"/>
              </w:rPr>
              <w:t>4</w:t>
            </w:r>
            <w:r w:rsidRPr="00ED73DC">
              <w:rPr>
                <w:rFonts w:ascii="Calibri" w:hAnsi="Calibri" w:cs="Calibri"/>
                <w:sz w:val="22"/>
                <w:szCs w:val="22"/>
              </w:rPr>
              <w:t xml:space="preserve"> level of the UN Salary Scale for Professional and higher categories effective 1 January 2022. The fee will be paid in </w:t>
            </w:r>
            <w:r w:rsidR="00723870">
              <w:rPr>
                <w:rFonts w:ascii="Calibri" w:hAnsi="Calibri" w:cs="Calibri"/>
                <w:sz w:val="22"/>
                <w:szCs w:val="22"/>
              </w:rPr>
              <w:t xml:space="preserve">a </w:t>
            </w:r>
            <w:r w:rsidRPr="00ED73DC">
              <w:rPr>
                <w:rFonts w:ascii="Calibri" w:hAnsi="Calibri" w:cs="Calibri"/>
                <w:sz w:val="22"/>
                <w:szCs w:val="22"/>
              </w:rPr>
              <w:t>lump sum upon quality provision of all deliverables.</w:t>
            </w:r>
          </w:p>
          <w:p w14:paraId="33375FC7" w14:textId="16CB06C4" w:rsidR="00874675" w:rsidRPr="00E83345" w:rsidRDefault="004069FE" w:rsidP="00ED73DC">
            <w:pPr>
              <w:tabs>
                <w:tab w:val="left" w:pos="-720"/>
              </w:tabs>
              <w:suppressAutoHyphens/>
              <w:spacing w:before="40" w:after="54"/>
              <w:rPr>
                <w:rFonts w:ascii="Calibri" w:hAnsi="Calibri" w:cs="Calibri"/>
                <w:sz w:val="22"/>
                <w:szCs w:val="22"/>
              </w:rPr>
            </w:pPr>
            <w:r w:rsidRPr="00ED73DC">
              <w:rPr>
                <w:rFonts w:ascii="Calibri" w:hAnsi="Calibri" w:cs="Calibri"/>
                <w:sz w:val="22"/>
                <w:szCs w:val="22"/>
              </w:rPr>
              <w:t>COA:</w:t>
            </w:r>
            <w:r>
              <w:rPr>
                <w:rFonts w:ascii="Calibri" w:hAnsi="Calibri" w:cs="Calibri"/>
                <w:sz w:val="22"/>
                <w:szCs w:val="22"/>
                <w:lang w:val="en-US"/>
              </w:rPr>
              <w:t xml:space="preserve"> </w:t>
            </w:r>
            <w:bookmarkEnd w:id="5"/>
            <w:r w:rsidR="00ED73DC">
              <w:rPr>
                <w:rFonts w:ascii="Calibri" w:hAnsi="Calibri" w:cs="Calibri"/>
                <w:sz w:val="22"/>
                <w:szCs w:val="22"/>
                <w:lang w:val="en-US"/>
              </w:rPr>
              <w:t>TKM05YTH, UZJ40, B5470, IMPLSUP</w:t>
            </w:r>
          </w:p>
        </w:tc>
      </w:tr>
      <w:tr w:rsidR="004F46C6" w:rsidRPr="00E83345" w14:paraId="5085CA06" w14:textId="77777777" w:rsidTr="002871E4">
        <w:tblPrEx>
          <w:tblCellMar>
            <w:left w:w="148" w:type="dxa"/>
            <w:right w:w="148" w:type="dxa"/>
          </w:tblCellMar>
        </w:tblPrEx>
        <w:trPr>
          <w:trHeight w:val="1358"/>
        </w:trPr>
        <w:tc>
          <w:tcPr>
            <w:tcW w:w="10710" w:type="dxa"/>
            <w:gridSpan w:val="2"/>
            <w:shd w:val="clear" w:color="auto" w:fill="auto"/>
          </w:tcPr>
          <w:p w14:paraId="48E4CF72" w14:textId="77777777" w:rsidR="004F46C6" w:rsidRPr="00E83345" w:rsidRDefault="004F46C6" w:rsidP="004F46C6">
            <w:pPr>
              <w:tabs>
                <w:tab w:val="left" w:pos="-720"/>
              </w:tabs>
              <w:suppressAutoHyphens/>
              <w:rPr>
                <w:rFonts w:ascii="Calibri" w:hAnsi="Calibri" w:cs="Calibri"/>
                <w:sz w:val="22"/>
                <w:szCs w:val="22"/>
              </w:rPr>
            </w:pPr>
          </w:p>
          <w:p w14:paraId="0CF7172B" w14:textId="77777777" w:rsidR="004F46C6" w:rsidRPr="00E83345" w:rsidRDefault="004F46C6" w:rsidP="004F46C6">
            <w:pPr>
              <w:tabs>
                <w:tab w:val="left" w:pos="-720"/>
              </w:tabs>
              <w:suppressAutoHyphens/>
              <w:rPr>
                <w:rFonts w:ascii="Calibri" w:hAnsi="Calibri" w:cs="Calibri"/>
                <w:sz w:val="22"/>
                <w:szCs w:val="22"/>
              </w:rPr>
            </w:pPr>
            <w:r w:rsidRPr="00E83345">
              <w:rPr>
                <w:rFonts w:ascii="Calibri" w:hAnsi="Calibri" w:cs="Calibri"/>
                <w:sz w:val="22"/>
                <w:szCs w:val="22"/>
              </w:rPr>
              <w:t>Signature of Requesting Officer in Hiring Office:</w:t>
            </w:r>
          </w:p>
          <w:p w14:paraId="7E407C6C" w14:textId="77777777" w:rsidR="004F46C6" w:rsidRPr="00E83345" w:rsidRDefault="004F46C6" w:rsidP="004F46C6">
            <w:pPr>
              <w:tabs>
                <w:tab w:val="left" w:pos="-720"/>
              </w:tabs>
              <w:suppressAutoHyphens/>
              <w:rPr>
                <w:rFonts w:ascii="Calibri" w:hAnsi="Calibri" w:cs="Calibri"/>
                <w:sz w:val="22"/>
                <w:szCs w:val="22"/>
              </w:rPr>
            </w:pPr>
          </w:p>
          <w:p w14:paraId="093850F0" w14:textId="12934C9D" w:rsidR="004F46C6" w:rsidRPr="00E83345" w:rsidRDefault="004F46C6" w:rsidP="004F46C6">
            <w:pPr>
              <w:tabs>
                <w:tab w:val="left" w:pos="-720"/>
              </w:tabs>
              <w:suppressAutoHyphens/>
              <w:spacing w:before="40" w:after="54"/>
              <w:rPr>
                <w:rFonts w:ascii="Calibri" w:hAnsi="Calibri" w:cs="Calibri"/>
                <w:sz w:val="22"/>
                <w:szCs w:val="22"/>
              </w:rPr>
            </w:pPr>
            <w:r w:rsidRPr="00E83345">
              <w:rPr>
                <w:rFonts w:ascii="Calibri" w:hAnsi="Calibri" w:cs="Calibri"/>
                <w:sz w:val="22"/>
                <w:szCs w:val="22"/>
              </w:rPr>
              <w:t xml:space="preserve">Date:  </w:t>
            </w:r>
          </w:p>
        </w:tc>
      </w:tr>
    </w:tbl>
    <w:p w14:paraId="7C102724" w14:textId="77777777" w:rsidR="00152E15" w:rsidRPr="00E83345" w:rsidRDefault="00152E15" w:rsidP="00152E15">
      <w:pPr>
        <w:rPr>
          <w:rFonts w:ascii="Calibri" w:hAnsi="Calibri" w:cs="Calibri"/>
          <w:sz w:val="22"/>
          <w:szCs w:val="22"/>
          <w:lang w:val="en-US"/>
        </w:rPr>
      </w:pPr>
    </w:p>
    <w:p w14:paraId="12BA7ED3" w14:textId="77777777" w:rsidR="009A750C" w:rsidRPr="00E83345" w:rsidRDefault="009A750C">
      <w:pPr>
        <w:rPr>
          <w:rFonts w:ascii="Calibri" w:hAnsi="Calibri" w:cs="Calibri"/>
          <w:sz w:val="22"/>
          <w:szCs w:val="22"/>
        </w:rPr>
      </w:pPr>
    </w:p>
    <w:sectPr w:rsidR="009A750C" w:rsidRPr="00E83345" w:rsidSect="00A82416">
      <w:footerReference w:type="default" r:id="rId8"/>
      <w:pgSz w:w="11906" w:h="16838" w:code="9"/>
      <w:pgMar w:top="720" w:right="720" w:bottom="720" w:left="7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C520" w16cex:dateUtc="2021-09-09T03:2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F344" w14:textId="77777777" w:rsidR="00C31389" w:rsidRDefault="00C31389" w:rsidP="00753680">
      <w:r>
        <w:separator/>
      </w:r>
    </w:p>
  </w:endnote>
  <w:endnote w:type="continuationSeparator" w:id="0">
    <w:p w14:paraId="701C5052" w14:textId="77777777" w:rsidR="00C31389" w:rsidRDefault="00C31389"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77425"/>
      <w:docPartObj>
        <w:docPartGallery w:val="Page Numbers (Bottom of Page)"/>
        <w:docPartUnique/>
      </w:docPartObj>
    </w:sdtPr>
    <w:sdtEndPr>
      <w:rPr>
        <w:noProof/>
      </w:rPr>
    </w:sdtEndPr>
    <w:sdtContent>
      <w:p w14:paraId="09EF04C2" w14:textId="3DF043C7" w:rsidR="00753680" w:rsidRDefault="00753680">
        <w:pPr>
          <w:pStyle w:val="Footer"/>
          <w:jc w:val="center"/>
        </w:pPr>
        <w:r>
          <w:fldChar w:fldCharType="begin"/>
        </w:r>
        <w:r>
          <w:instrText xml:space="preserve"> PAGE   \* MERGEFORMAT </w:instrText>
        </w:r>
        <w:r>
          <w:fldChar w:fldCharType="separate"/>
        </w:r>
        <w:r w:rsidR="00211E30">
          <w:rPr>
            <w:noProof/>
          </w:rPr>
          <w:t>4</w:t>
        </w:r>
        <w:r>
          <w:rPr>
            <w:noProof/>
          </w:rPr>
          <w:fldChar w:fldCharType="end"/>
        </w:r>
      </w:p>
    </w:sdtContent>
  </w:sdt>
  <w:p w14:paraId="31964A37" w14:textId="77777777" w:rsidR="00753680" w:rsidRDefault="007536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3815" w14:textId="77777777" w:rsidR="00C31389" w:rsidRDefault="00C31389" w:rsidP="00753680">
      <w:r>
        <w:separator/>
      </w:r>
    </w:p>
  </w:footnote>
  <w:footnote w:type="continuationSeparator" w:id="0">
    <w:p w14:paraId="3B286404" w14:textId="77777777" w:rsidR="00C31389" w:rsidRDefault="00C31389" w:rsidP="00753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855"/>
    <w:multiLevelType w:val="hybridMultilevel"/>
    <w:tmpl w:val="0DFAA948"/>
    <w:lvl w:ilvl="0" w:tplc="0409000F">
      <w:start w:val="1"/>
      <w:numFmt w:val="decimal"/>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1" w15:restartNumberingAfterBreak="0">
    <w:nsid w:val="10274F2A"/>
    <w:multiLevelType w:val="hybridMultilevel"/>
    <w:tmpl w:val="70DC03EC"/>
    <w:lvl w:ilvl="0" w:tplc="A290E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81072"/>
    <w:multiLevelType w:val="hybridMultilevel"/>
    <w:tmpl w:val="190C3704"/>
    <w:lvl w:ilvl="0" w:tplc="A290E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0F49"/>
    <w:multiLevelType w:val="hybridMultilevel"/>
    <w:tmpl w:val="A67EE002"/>
    <w:lvl w:ilvl="0" w:tplc="0A9C62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A284CF0"/>
    <w:multiLevelType w:val="hybridMultilevel"/>
    <w:tmpl w:val="AC3E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D78DE"/>
    <w:multiLevelType w:val="hybridMultilevel"/>
    <w:tmpl w:val="6BC495C6"/>
    <w:lvl w:ilvl="0" w:tplc="A290E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64891"/>
    <w:multiLevelType w:val="hybridMultilevel"/>
    <w:tmpl w:val="2B06F662"/>
    <w:lvl w:ilvl="0" w:tplc="A290EF38">
      <w:start w:val="1"/>
      <w:numFmt w:val="bullet"/>
      <w:lvlText w:val=""/>
      <w:lvlJc w:val="left"/>
      <w:pPr>
        <w:ind w:left="720" w:hanging="360"/>
      </w:pPr>
      <w:rPr>
        <w:rFonts w:ascii="Symbol" w:hAnsi="Symbol" w:hint="default"/>
        <w:sz w:val="22"/>
        <w:szCs w:val="22"/>
      </w:rPr>
    </w:lvl>
    <w:lvl w:ilvl="1" w:tplc="A290EF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37F6F"/>
    <w:multiLevelType w:val="hybridMultilevel"/>
    <w:tmpl w:val="3B00E5B0"/>
    <w:lvl w:ilvl="0" w:tplc="A290E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165F"/>
    <w:multiLevelType w:val="hybridMultilevel"/>
    <w:tmpl w:val="F20A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252C0"/>
    <w:multiLevelType w:val="hybridMultilevel"/>
    <w:tmpl w:val="C0087BB2"/>
    <w:lvl w:ilvl="0" w:tplc="0409000F">
      <w:start w:val="1"/>
      <w:numFmt w:val="decimal"/>
      <w:lvlText w:val="%1."/>
      <w:lvlJc w:val="left"/>
      <w:pPr>
        <w:ind w:left="720" w:hanging="360"/>
      </w:pPr>
    </w:lvl>
    <w:lvl w:ilvl="1" w:tplc="A290EF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14A0B"/>
    <w:multiLevelType w:val="hybridMultilevel"/>
    <w:tmpl w:val="B3BE1B72"/>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9371A"/>
    <w:multiLevelType w:val="hybridMultilevel"/>
    <w:tmpl w:val="42AE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F6132"/>
    <w:multiLevelType w:val="hybridMultilevel"/>
    <w:tmpl w:val="1314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75B7D"/>
    <w:multiLevelType w:val="hybridMultilevel"/>
    <w:tmpl w:val="1BEE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C5185"/>
    <w:multiLevelType w:val="hybridMultilevel"/>
    <w:tmpl w:val="471E9F80"/>
    <w:lvl w:ilvl="0" w:tplc="A290EF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538E7"/>
    <w:multiLevelType w:val="hybridMultilevel"/>
    <w:tmpl w:val="A08CCB96"/>
    <w:lvl w:ilvl="0" w:tplc="A290E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44C41"/>
    <w:multiLevelType w:val="hybridMultilevel"/>
    <w:tmpl w:val="2E3639F2"/>
    <w:lvl w:ilvl="0" w:tplc="5694F8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6"/>
  </w:num>
  <w:num w:numId="5">
    <w:abstractNumId w:val="14"/>
  </w:num>
  <w:num w:numId="6">
    <w:abstractNumId w:val="9"/>
  </w:num>
  <w:num w:numId="7">
    <w:abstractNumId w:val="1"/>
  </w:num>
  <w:num w:numId="8">
    <w:abstractNumId w:val="0"/>
  </w:num>
  <w:num w:numId="9">
    <w:abstractNumId w:val="10"/>
  </w:num>
  <w:num w:numId="10">
    <w:abstractNumId w:val="3"/>
  </w:num>
  <w:num w:numId="11">
    <w:abstractNumId w:val="16"/>
  </w:num>
  <w:num w:numId="12">
    <w:abstractNumId w:val="8"/>
  </w:num>
  <w:num w:numId="13">
    <w:abstractNumId w:val="13"/>
  </w:num>
  <w:num w:numId="14">
    <w:abstractNumId w:val="12"/>
  </w:num>
  <w:num w:numId="15">
    <w:abstractNumId w:val="4"/>
  </w:num>
  <w:num w:numId="16">
    <w:abstractNumId w:val="5"/>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jEzMTIzNTQzMzJS0lEKTi0uzszPAykwNK4FALHnlaEtAAAA"/>
  </w:docVars>
  <w:rsids>
    <w:rsidRoot w:val="00152E15"/>
    <w:rsid w:val="000219A2"/>
    <w:rsid w:val="000221EF"/>
    <w:rsid w:val="00022CBC"/>
    <w:rsid w:val="00025965"/>
    <w:rsid w:val="000271E4"/>
    <w:rsid w:val="00030BE8"/>
    <w:rsid w:val="000537CB"/>
    <w:rsid w:val="000540FD"/>
    <w:rsid w:val="0006216F"/>
    <w:rsid w:val="00063649"/>
    <w:rsid w:val="00070355"/>
    <w:rsid w:val="0007115A"/>
    <w:rsid w:val="00080E5E"/>
    <w:rsid w:val="000928A0"/>
    <w:rsid w:val="000939D7"/>
    <w:rsid w:val="000972CC"/>
    <w:rsid w:val="000A10D4"/>
    <w:rsid w:val="000A2745"/>
    <w:rsid w:val="000B0276"/>
    <w:rsid w:val="000B2523"/>
    <w:rsid w:val="000B31A6"/>
    <w:rsid w:val="000B722D"/>
    <w:rsid w:val="000C3A68"/>
    <w:rsid w:val="000C44BC"/>
    <w:rsid w:val="000C587A"/>
    <w:rsid w:val="000C59A1"/>
    <w:rsid w:val="000C7228"/>
    <w:rsid w:val="000D3DEA"/>
    <w:rsid w:val="000E03E9"/>
    <w:rsid w:val="000E0FB1"/>
    <w:rsid w:val="000E3269"/>
    <w:rsid w:val="000E3D49"/>
    <w:rsid w:val="000F0F15"/>
    <w:rsid w:val="000F32D2"/>
    <w:rsid w:val="000F70EB"/>
    <w:rsid w:val="00102435"/>
    <w:rsid w:val="00104D1F"/>
    <w:rsid w:val="00117EB8"/>
    <w:rsid w:val="00120F94"/>
    <w:rsid w:val="001219AD"/>
    <w:rsid w:val="00125C6E"/>
    <w:rsid w:val="001420E2"/>
    <w:rsid w:val="00151C4D"/>
    <w:rsid w:val="00152E15"/>
    <w:rsid w:val="00154154"/>
    <w:rsid w:val="00155042"/>
    <w:rsid w:val="00162724"/>
    <w:rsid w:val="001739F6"/>
    <w:rsid w:val="00191A0E"/>
    <w:rsid w:val="001A416D"/>
    <w:rsid w:val="001A66BA"/>
    <w:rsid w:val="001B631B"/>
    <w:rsid w:val="001B685F"/>
    <w:rsid w:val="001B72C8"/>
    <w:rsid w:val="001B74DA"/>
    <w:rsid w:val="001D62D5"/>
    <w:rsid w:val="001D6719"/>
    <w:rsid w:val="001E0F38"/>
    <w:rsid w:val="001E4240"/>
    <w:rsid w:val="001F5A9A"/>
    <w:rsid w:val="001F6682"/>
    <w:rsid w:val="002004EF"/>
    <w:rsid w:val="00201F42"/>
    <w:rsid w:val="002052FD"/>
    <w:rsid w:val="00211532"/>
    <w:rsid w:val="00211E30"/>
    <w:rsid w:val="00215B6B"/>
    <w:rsid w:val="00220781"/>
    <w:rsid w:val="002222F7"/>
    <w:rsid w:val="00225F3D"/>
    <w:rsid w:val="00227C55"/>
    <w:rsid w:val="00231F3E"/>
    <w:rsid w:val="00233A4F"/>
    <w:rsid w:val="00235264"/>
    <w:rsid w:val="00244F80"/>
    <w:rsid w:val="002701B0"/>
    <w:rsid w:val="002750F2"/>
    <w:rsid w:val="002871E4"/>
    <w:rsid w:val="002A433A"/>
    <w:rsid w:val="002A4B8C"/>
    <w:rsid w:val="002A7215"/>
    <w:rsid w:val="002B4A63"/>
    <w:rsid w:val="002C3746"/>
    <w:rsid w:val="002C532B"/>
    <w:rsid w:val="002D1958"/>
    <w:rsid w:val="002E09B8"/>
    <w:rsid w:val="002E3415"/>
    <w:rsid w:val="002E613F"/>
    <w:rsid w:val="002E7103"/>
    <w:rsid w:val="002F1CD6"/>
    <w:rsid w:val="002F6082"/>
    <w:rsid w:val="0030213F"/>
    <w:rsid w:val="003022A7"/>
    <w:rsid w:val="003042FC"/>
    <w:rsid w:val="00305992"/>
    <w:rsid w:val="00312600"/>
    <w:rsid w:val="00320325"/>
    <w:rsid w:val="0032609A"/>
    <w:rsid w:val="0032629D"/>
    <w:rsid w:val="00331031"/>
    <w:rsid w:val="00331B42"/>
    <w:rsid w:val="00335C61"/>
    <w:rsid w:val="00336041"/>
    <w:rsid w:val="00340AD7"/>
    <w:rsid w:val="00347336"/>
    <w:rsid w:val="00352E5B"/>
    <w:rsid w:val="003550D8"/>
    <w:rsid w:val="0036182B"/>
    <w:rsid w:val="003732B0"/>
    <w:rsid w:val="00373884"/>
    <w:rsid w:val="003821C0"/>
    <w:rsid w:val="0038237F"/>
    <w:rsid w:val="0038332B"/>
    <w:rsid w:val="003837B7"/>
    <w:rsid w:val="00385289"/>
    <w:rsid w:val="003905D7"/>
    <w:rsid w:val="00395398"/>
    <w:rsid w:val="003A6D42"/>
    <w:rsid w:val="003B2A8A"/>
    <w:rsid w:val="003B7AF3"/>
    <w:rsid w:val="003C19B5"/>
    <w:rsid w:val="003D0FD4"/>
    <w:rsid w:val="003D10F3"/>
    <w:rsid w:val="003D2BEF"/>
    <w:rsid w:val="003D5568"/>
    <w:rsid w:val="003E16D2"/>
    <w:rsid w:val="003E5115"/>
    <w:rsid w:val="003F2A9E"/>
    <w:rsid w:val="003F32AB"/>
    <w:rsid w:val="003F58AC"/>
    <w:rsid w:val="003F728B"/>
    <w:rsid w:val="003F7BAE"/>
    <w:rsid w:val="004005D7"/>
    <w:rsid w:val="004015BF"/>
    <w:rsid w:val="00406854"/>
    <w:rsid w:val="004069FE"/>
    <w:rsid w:val="00412D4D"/>
    <w:rsid w:val="0043611D"/>
    <w:rsid w:val="00436236"/>
    <w:rsid w:val="00441DE7"/>
    <w:rsid w:val="004432C7"/>
    <w:rsid w:val="00444C1F"/>
    <w:rsid w:val="00447ACB"/>
    <w:rsid w:val="00452913"/>
    <w:rsid w:val="00452EAF"/>
    <w:rsid w:val="00470450"/>
    <w:rsid w:val="00472B5F"/>
    <w:rsid w:val="004752FF"/>
    <w:rsid w:val="00477982"/>
    <w:rsid w:val="0048697B"/>
    <w:rsid w:val="004902C1"/>
    <w:rsid w:val="004A168B"/>
    <w:rsid w:val="004F31AA"/>
    <w:rsid w:val="004F46C6"/>
    <w:rsid w:val="00501731"/>
    <w:rsid w:val="005045FF"/>
    <w:rsid w:val="005047F9"/>
    <w:rsid w:val="005143DB"/>
    <w:rsid w:val="00515676"/>
    <w:rsid w:val="00515FC6"/>
    <w:rsid w:val="00525FE7"/>
    <w:rsid w:val="00530CF8"/>
    <w:rsid w:val="00533C22"/>
    <w:rsid w:val="00550864"/>
    <w:rsid w:val="005604FE"/>
    <w:rsid w:val="00573A06"/>
    <w:rsid w:val="00594132"/>
    <w:rsid w:val="0059532E"/>
    <w:rsid w:val="005A2699"/>
    <w:rsid w:val="005A3C48"/>
    <w:rsid w:val="005A4867"/>
    <w:rsid w:val="005B5DCF"/>
    <w:rsid w:val="005C0DEB"/>
    <w:rsid w:val="005C1E9D"/>
    <w:rsid w:val="005C3F53"/>
    <w:rsid w:val="005C727A"/>
    <w:rsid w:val="005D4140"/>
    <w:rsid w:val="005D76BE"/>
    <w:rsid w:val="005D7E90"/>
    <w:rsid w:val="005F0E20"/>
    <w:rsid w:val="005F32E4"/>
    <w:rsid w:val="00622BD5"/>
    <w:rsid w:val="00623A24"/>
    <w:rsid w:val="0062598D"/>
    <w:rsid w:val="00625FE0"/>
    <w:rsid w:val="0063125C"/>
    <w:rsid w:val="006347FC"/>
    <w:rsid w:val="00641921"/>
    <w:rsid w:val="00646407"/>
    <w:rsid w:val="00650D5A"/>
    <w:rsid w:val="00661FD8"/>
    <w:rsid w:val="00667171"/>
    <w:rsid w:val="006675A1"/>
    <w:rsid w:val="006679D4"/>
    <w:rsid w:val="006705C5"/>
    <w:rsid w:val="00670ED5"/>
    <w:rsid w:val="00670EE7"/>
    <w:rsid w:val="006811AF"/>
    <w:rsid w:val="006811CE"/>
    <w:rsid w:val="00686032"/>
    <w:rsid w:val="006962DD"/>
    <w:rsid w:val="006A0559"/>
    <w:rsid w:val="006A34F5"/>
    <w:rsid w:val="006A54B4"/>
    <w:rsid w:val="006B4087"/>
    <w:rsid w:val="006B4EF7"/>
    <w:rsid w:val="006C11AA"/>
    <w:rsid w:val="006C2F91"/>
    <w:rsid w:val="006D5C36"/>
    <w:rsid w:val="006D61C8"/>
    <w:rsid w:val="006F0641"/>
    <w:rsid w:val="006F0CF1"/>
    <w:rsid w:val="006F1C58"/>
    <w:rsid w:val="006F323C"/>
    <w:rsid w:val="006F7919"/>
    <w:rsid w:val="00704C91"/>
    <w:rsid w:val="00716DF1"/>
    <w:rsid w:val="00723870"/>
    <w:rsid w:val="00726F5F"/>
    <w:rsid w:val="007311EA"/>
    <w:rsid w:val="00735FAB"/>
    <w:rsid w:val="00743973"/>
    <w:rsid w:val="00744759"/>
    <w:rsid w:val="00744B8C"/>
    <w:rsid w:val="00745D3E"/>
    <w:rsid w:val="00745D79"/>
    <w:rsid w:val="00753680"/>
    <w:rsid w:val="00754F6F"/>
    <w:rsid w:val="00776321"/>
    <w:rsid w:val="00782380"/>
    <w:rsid w:val="00782E15"/>
    <w:rsid w:val="007878D7"/>
    <w:rsid w:val="007A2B14"/>
    <w:rsid w:val="007A2F30"/>
    <w:rsid w:val="007B17D1"/>
    <w:rsid w:val="007B75D8"/>
    <w:rsid w:val="007C0C3A"/>
    <w:rsid w:val="007C1C9E"/>
    <w:rsid w:val="007C20B2"/>
    <w:rsid w:val="007C29A7"/>
    <w:rsid w:val="007C6D84"/>
    <w:rsid w:val="007D2D28"/>
    <w:rsid w:val="007D2D91"/>
    <w:rsid w:val="007E5E84"/>
    <w:rsid w:val="007F531A"/>
    <w:rsid w:val="00805A67"/>
    <w:rsid w:val="00810298"/>
    <w:rsid w:val="00811CF1"/>
    <w:rsid w:val="00812296"/>
    <w:rsid w:val="0081373E"/>
    <w:rsid w:val="0081374C"/>
    <w:rsid w:val="008174BF"/>
    <w:rsid w:val="0081766B"/>
    <w:rsid w:val="00817E9B"/>
    <w:rsid w:val="00823DCB"/>
    <w:rsid w:val="008318D6"/>
    <w:rsid w:val="00843A78"/>
    <w:rsid w:val="00852E47"/>
    <w:rsid w:val="00861A90"/>
    <w:rsid w:val="00866C6D"/>
    <w:rsid w:val="008715DE"/>
    <w:rsid w:val="00874675"/>
    <w:rsid w:val="00874CDE"/>
    <w:rsid w:val="00875D24"/>
    <w:rsid w:val="008769CF"/>
    <w:rsid w:val="00881696"/>
    <w:rsid w:val="00883FE7"/>
    <w:rsid w:val="00890D54"/>
    <w:rsid w:val="008A1134"/>
    <w:rsid w:val="008A37BE"/>
    <w:rsid w:val="008A5AF9"/>
    <w:rsid w:val="008A6B81"/>
    <w:rsid w:val="008B5DB7"/>
    <w:rsid w:val="008B687F"/>
    <w:rsid w:val="008B7391"/>
    <w:rsid w:val="008D5FCC"/>
    <w:rsid w:val="008D6F48"/>
    <w:rsid w:val="008E600D"/>
    <w:rsid w:val="008E7790"/>
    <w:rsid w:val="008F10E6"/>
    <w:rsid w:val="008F6861"/>
    <w:rsid w:val="008F7560"/>
    <w:rsid w:val="00906346"/>
    <w:rsid w:val="00907439"/>
    <w:rsid w:val="00914D99"/>
    <w:rsid w:val="00915586"/>
    <w:rsid w:val="00915A72"/>
    <w:rsid w:val="00920060"/>
    <w:rsid w:val="00921DC4"/>
    <w:rsid w:val="00925CCE"/>
    <w:rsid w:val="00935457"/>
    <w:rsid w:val="009417E5"/>
    <w:rsid w:val="00947933"/>
    <w:rsid w:val="009515C6"/>
    <w:rsid w:val="00951DB3"/>
    <w:rsid w:val="00954A5A"/>
    <w:rsid w:val="00956D7D"/>
    <w:rsid w:val="0095754E"/>
    <w:rsid w:val="0096371A"/>
    <w:rsid w:val="0096701F"/>
    <w:rsid w:val="009704D5"/>
    <w:rsid w:val="00974B96"/>
    <w:rsid w:val="009773B9"/>
    <w:rsid w:val="009806F3"/>
    <w:rsid w:val="00980F78"/>
    <w:rsid w:val="009837A6"/>
    <w:rsid w:val="00987DE4"/>
    <w:rsid w:val="00990BFB"/>
    <w:rsid w:val="00992F73"/>
    <w:rsid w:val="00997210"/>
    <w:rsid w:val="009A09F4"/>
    <w:rsid w:val="009A6605"/>
    <w:rsid w:val="009A750C"/>
    <w:rsid w:val="009B1DA4"/>
    <w:rsid w:val="009B3B60"/>
    <w:rsid w:val="009C3449"/>
    <w:rsid w:val="009C4157"/>
    <w:rsid w:val="009C6172"/>
    <w:rsid w:val="009D01C1"/>
    <w:rsid w:val="009D723C"/>
    <w:rsid w:val="009E05A0"/>
    <w:rsid w:val="009E5871"/>
    <w:rsid w:val="009F2675"/>
    <w:rsid w:val="00A0104E"/>
    <w:rsid w:val="00A13E16"/>
    <w:rsid w:val="00A274A4"/>
    <w:rsid w:val="00A41AAC"/>
    <w:rsid w:val="00A41E84"/>
    <w:rsid w:val="00A43293"/>
    <w:rsid w:val="00A646E8"/>
    <w:rsid w:val="00A66DB6"/>
    <w:rsid w:val="00A706C1"/>
    <w:rsid w:val="00A726F8"/>
    <w:rsid w:val="00A82416"/>
    <w:rsid w:val="00A903B4"/>
    <w:rsid w:val="00A919F7"/>
    <w:rsid w:val="00A93544"/>
    <w:rsid w:val="00A9498C"/>
    <w:rsid w:val="00A94A8E"/>
    <w:rsid w:val="00A96B0A"/>
    <w:rsid w:val="00AA0DFA"/>
    <w:rsid w:val="00AA1E04"/>
    <w:rsid w:val="00AA48DB"/>
    <w:rsid w:val="00AA6781"/>
    <w:rsid w:val="00AB6514"/>
    <w:rsid w:val="00AC12BF"/>
    <w:rsid w:val="00AC7367"/>
    <w:rsid w:val="00AD22AC"/>
    <w:rsid w:val="00AD7D77"/>
    <w:rsid w:val="00AE31D3"/>
    <w:rsid w:val="00AF6B98"/>
    <w:rsid w:val="00B00788"/>
    <w:rsid w:val="00B10FD7"/>
    <w:rsid w:val="00B11386"/>
    <w:rsid w:val="00B117EC"/>
    <w:rsid w:val="00B1799E"/>
    <w:rsid w:val="00B204FC"/>
    <w:rsid w:val="00B31F92"/>
    <w:rsid w:val="00B50C40"/>
    <w:rsid w:val="00B64808"/>
    <w:rsid w:val="00B72603"/>
    <w:rsid w:val="00B72DA4"/>
    <w:rsid w:val="00B7604A"/>
    <w:rsid w:val="00B777C6"/>
    <w:rsid w:val="00B94F64"/>
    <w:rsid w:val="00BA02CD"/>
    <w:rsid w:val="00BA4514"/>
    <w:rsid w:val="00BA68A3"/>
    <w:rsid w:val="00BC4A81"/>
    <w:rsid w:val="00BC6EA1"/>
    <w:rsid w:val="00BC7E8A"/>
    <w:rsid w:val="00BD6846"/>
    <w:rsid w:val="00BD7AD7"/>
    <w:rsid w:val="00BE4AAD"/>
    <w:rsid w:val="00BE6D1A"/>
    <w:rsid w:val="00BE6E03"/>
    <w:rsid w:val="00BF4650"/>
    <w:rsid w:val="00C02C85"/>
    <w:rsid w:val="00C0527B"/>
    <w:rsid w:val="00C070DF"/>
    <w:rsid w:val="00C0795C"/>
    <w:rsid w:val="00C07AA2"/>
    <w:rsid w:val="00C1271A"/>
    <w:rsid w:val="00C17857"/>
    <w:rsid w:val="00C22DA8"/>
    <w:rsid w:val="00C2785F"/>
    <w:rsid w:val="00C31389"/>
    <w:rsid w:val="00C34BE1"/>
    <w:rsid w:val="00C356C0"/>
    <w:rsid w:val="00C41E33"/>
    <w:rsid w:val="00C6186D"/>
    <w:rsid w:val="00C64510"/>
    <w:rsid w:val="00C70AE4"/>
    <w:rsid w:val="00C76D23"/>
    <w:rsid w:val="00C7780B"/>
    <w:rsid w:val="00CA749C"/>
    <w:rsid w:val="00CB154A"/>
    <w:rsid w:val="00CB1748"/>
    <w:rsid w:val="00CB4FDB"/>
    <w:rsid w:val="00CC4EE3"/>
    <w:rsid w:val="00CC6E6D"/>
    <w:rsid w:val="00CD39BD"/>
    <w:rsid w:val="00CD6EA4"/>
    <w:rsid w:val="00CD7310"/>
    <w:rsid w:val="00CE18A0"/>
    <w:rsid w:val="00CF6183"/>
    <w:rsid w:val="00D041F8"/>
    <w:rsid w:val="00D143D2"/>
    <w:rsid w:val="00D21DB2"/>
    <w:rsid w:val="00D274A8"/>
    <w:rsid w:val="00D3462D"/>
    <w:rsid w:val="00D40802"/>
    <w:rsid w:val="00D474BD"/>
    <w:rsid w:val="00D52AB6"/>
    <w:rsid w:val="00D544AA"/>
    <w:rsid w:val="00D60B40"/>
    <w:rsid w:val="00D63EC8"/>
    <w:rsid w:val="00D63F52"/>
    <w:rsid w:val="00D73273"/>
    <w:rsid w:val="00D74469"/>
    <w:rsid w:val="00D75173"/>
    <w:rsid w:val="00D84D54"/>
    <w:rsid w:val="00D85E42"/>
    <w:rsid w:val="00DA027F"/>
    <w:rsid w:val="00DA318F"/>
    <w:rsid w:val="00DA78E5"/>
    <w:rsid w:val="00DB7DBD"/>
    <w:rsid w:val="00DC4535"/>
    <w:rsid w:val="00DC75EF"/>
    <w:rsid w:val="00DD06F2"/>
    <w:rsid w:val="00DD0CFD"/>
    <w:rsid w:val="00DD1033"/>
    <w:rsid w:val="00DD3CCA"/>
    <w:rsid w:val="00DD6B25"/>
    <w:rsid w:val="00DE04BF"/>
    <w:rsid w:val="00DE0D27"/>
    <w:rsid w:val="00DE3C80"/>
    <w:rsid w:val="00DE4F47"/>
    <w:rsid w:val="00DF2A78"/>
    <w:rsid w:val="00DF5DEC"/>
    <w:rsid w:val="00E00A08"/>
    <w:rsid w:val="00E174FF"/>
    <w:rsid w:val="00E236B3"/>
    <w:rsid w:val="00E23E07"/>
    <w:rsid w:val="00E2742A"/>
    <w:rsid w:val="00E27993"/>
    <w:rsid w:val="00E27CF5"/>
    <w:rsid w:val="00E27DB4"/>
    <w:rsid w:val="00E30344"/>
    <w:rsid w:val="00E30361"/>
    <w:rsid w:val="00E3761B"/>
    <w:rsid w:val="00E467E4"/>
    <w:rsid w:val="00E4681C"/>
    <w:rsid w:val="00E52083"/>
    <w:rsid w:val="00E53AE4"/>
    <w:rsid w:val="00E66068"/>
    <w:rsid w:val="00E73BF9"/>
    <w:rsid w:val="00E74601"/>
    <w:rsid w:val="00E752FF"/>
    <w:rsid w:val="00E76037"/>
    <w:rsid w:val="00E83345"/>
    <w:rsid w:val="00E83BE1"/>
    <w:rsid w:val="00E8694E"/>
    <w:rsid w:val="00E872AC"/>
    <w:rsid w:val="00E90880"/>
    <w:rsid w:val="00E91F36"/>
    <w:rsid w:val="00EA3E5C"/>
    <w:rsid w:val="00EA4185"/>
    <w:rsid w:val="00EA5F83"/>
    <w:rsid w:val="00EA7BEA"/>
    <w:rsid w:val="00EB07DC"/>
    <w:rsid w:val="00EB1798"/>
    <w:rsid w:val="00EB63DE"/>
    <w:rsid w:val="00EB7C2C"/>
    <w:rsid w:val="00EC6D12"/>
    <w:rsid w:val="00ED73DC"/>
    <w:rsid w:val="00EE13B4"/>
    <w:rsid w:val="00EE4F3C"/>
    <w:rsid w:val="00EF78F4"/>
    <w:rsid w:val="00F02AF9"/>
    <w:rsid w:val="00F050FA"/>
    <w:rsid w:val="00F10772"/>
    <w:rsid w:val="00F20A4F"/>
    <w:rsid w:val="00F450A5"/>
    <w:rsid w:val="00F45C77"/>
    <w:rsid w:val="00F4612B"/>
    <w:rsid w:val="00F55374"/>
    <w:rsid w:val="00F622E5"/>
    <w:rsid w:val="00F752A9"/>
    <w:rsid w:val="00F838F2"/>
    <w:rsid w:val="00F91934"/>
    <w:rsid w:val="00F928D6"/>
    <w:rsid w:val="00F92A63"/>
    <w:rsid w:val="00F93C7D"/>
    <w:rsid w:val="00F93D77"/>
    <w:rsid w:val="00F94DB8"/>
    <w:rsid w:val="00F96A71"/>
    <w:rsid w:val="00FA006D"/>
    <w:rsid w:val="00FA2A6D"/>
    <w:rsid w:val="00FB2C71"/>
    <w:rsid w:val="00FC36C3"/>
    <w:rsid w:val="00FD0305"/>
    <w:rsid w:val="00FD2178"/>
    <w:rsid w:val="00FE0999"/>
    <w:rsid w:val="00FE1446"/>
    <w:rsid w:val="00FE2055"/>
    <w:rsid w:val="00FE7177"/>
    <w:rsid w:val="00FF3967"/>
    <w:rsid w:val="00FF58B8"/>
    <w:rsid w:val="00FF7C69"/>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957F"/>
  <w15:docId w15:val="{8E4D483F-3921-43CC-BDD4-9E734B4F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1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70ED5"/>
    <w:pPr>
      <w:keepNext/>
      <w:keepLines/>
      <w:spacing w:before="240" w:line="259" w:lineRule="auto"/>
      <w:outlineLvl w:val="0"/>
    </w:pPr>
    <w:rPr>
      <w:rFonts w:asciiTheme="majorHAnsi" w:eastAsiaTheme="majorEastAsia" w:hAnsiTheme="majorHAnsi" w:cstheme="majorBidi"/>
      <w:b/>
      <w:color w:val="00B0F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152E15"/>
    <w:pPr>
      <w:spacing w:before="120" w:after="160" w:line="240" w:lineRule="exact"/>
    </w:pPr>
    <w:rPr>
      <w:rFonts w:ascii="Verdana" w:hAnsi="Verdana" w:cs="Arial"/>
      <w:sz w:val="20"/>
      <w:szCs w:val="20"/>
      <w:lang w:val="en-US"/>
    </w:r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152E15"/>
    <w:pPr>
      <w:ind w:left="720"/>
    </w:pPr>
    <w:rPr>
      <w:rFonts w:eastAsia="Calibri"/>
      <w:lang w:val="en-US"/>
    </w:rPr>
  </w:style>
  <w:style w:type="paragraph" w:styleId="BalloonText">
    <w:name w:val="Balloon Text"/>
    <w:basedOn w:val="Normal"/>
    <w:link w:val="BalloonTextChar"/>
    <w:uiPriority w:val="99"/>
    <w:semiHidden/>
    <w:unhideWhenUsed/>
    <w:rsid w:val="006962DD"/>
    <w:rPr>
      <w:rFonts w:ascii="Tahoma" w:hAnsi="Tahoma" w:cs="Tahoma"/>
      <w:sz w:val="16"/>
      <w:szCs w:val="16"/>
    </w:rPr>
  </w:style>
  <w:style w:type="character" w:customStyle="1" w:styleId="BalloonTextChar">
    <w:name w:val="Balloon Text Char"/>
    <w:basedOn w:val="DefaultParagraphFont"/>
    <w:link w:val="BalloonText"/>
    <w:uiPriority w:val="99"/>
    <w:semiHidden/>
    <w:rsid w:val="006962DD"/>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962DD"/>
    <w:rPr>
      <w:sz w:val="16"/>
      <w:szCs w:val="16"/>
    </w:rPr>
  </w:style>
  <w:style w:type="paragraph" w:styleId="CommentText">
    <w:name w:val="annotation text"/>
    <w:basedOn w:val="Normal"/>
    <w:link w:val="CommentTextChar"/>
    <w:unhideWhenUsed/>
    <w:rsid w:val="006962DD"/>
    <w:rPr>
      <w:sz w:val="20"/>
      <w:szCs w:val="20"/>
    </w:rPr>
  </w:style>
  <w:style w:type="character" w:customStyle="1" w:styleId="CommentTextChar">
    <w:name w:val="Comment Text Char"/>
    <w:basedOn w:val="DefaultParagraphFont"/>
    <w:link w:val="CommentText"/>
    <w:rsid w:val="006962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62DD"/>
    <w:rPr>
      <w:b/>
      <w:bCs/>
    </w:rPr>
  </w:style>
  <w:style w:type="character" w:customStyle="1" w:styleId="CommentSubjectChar">
    <w:name w:val="Comment Subject Char"/>
    <w:basedOn w:val="CommentTextChar"/>
    <w:link w:val="CommentSubject"/>
    <w:uiPriority w:val="99"/>
    <w:semiHidden/>
    <w:rsid w:val="006962DD"/>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753680"/>
    <w:pPr>
      <w:tabs>
        <w:tab w:val="center" w:pos="4513"/>
        <w:tab w:val="right" w:pos="9026"/>
      </w:tabs>
    </w:pPr>
  </w:style>
  <w:style w:type="character" w:customStyle="1" w:styleId="HeaderChar">
    <w:name w:val="Header Char"/>
    <w:basedOn w:val="DefaultParagraphFont"/>
    <w:link w:val="Header"/>
    <w:uiPriority w:val="99"/>
    <w:rsid w:val="0075368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53680"/>
    <w:pPr>
      <w:tabs>
        <w:tab w:val="center" w:pos="4513"/>
        <w:tab w:val="right" w:pos="9026"/>
      </w:tabs>
    </w:pPr>
  </w:style>
  <w:style w:type="character" w:customStyle="1" w:styleId="FooterChar">
    <w:name w:val="Footer Char"/>
    <w:basedOn w:val="DefaultParagraphFont"/>
    <w:link w:val="Footer"/>
    <w:uiPriority w:val="99"/>
    <w:rsid w:val="00753680"/>
    <w:rPr>
      <w:rFonts w:ascii="Times New Roman" w:eastAsia="Times New Roman" w:hAnsi="Times New Roman" w:cs="Times New Roman"/>
      <w:sz w:val="24"/>
      <w:szCs w:val="24"/>
      <w:lang w:val="en-GB"/>
    </w:rPr>
  </w:style>
  <w:style w:type="paragraph" w:customStyle="1" w:styleId="CharCharCharCharCharCharChar0">
    <w:name w:val="Char Char Char Char Char Char Char"/>
    <w:basedOn w:val="Normal"/>
    <w:rsid w:val="005D7E90"/>
    <w:pPr>
      <w:spacing w:before="120" w:after="160" w:line="240" w:lineRule="exact"/>
    </w:pPr>
    <w:rPr>
      <w:rFonts w:ascii="Verdana" w:hAnsi="Verdana" w:cs="Arial"/>
      <w:sz w:val="20"/>
      <w:szCs w:val="20"/>
      <w:lang w:val="en-US"/>
    </w:rPr>
  </w:style>
  <w:style w:type="paragraph" w:customStyle="1" w:styleId="CharCharCharCharCharCharChar1">
    <w:name w:val="Char Char Char Char Char Char Char"/>
    <w:basedOn w:val="Normal"/>
    <w:rsid w:val="007D2D91"/>
    <w:pPr>
      <w:spacing w:before="120" w:after="160" w:line="240" w:lineRule="exact"/>
    </w:pPr>
    <w:rPr>
      <w:rFonts w:ascii="Verdana" w:hAnsi="Verdana" w:cs="Arial"/>
      <w:sz w:val="20"/>
      <w:szCs w:val="20"/>
      <w:lang w:val="en-US"/>
    </w:rPr>
  </w:style>
  <w:style w:type="paragraph" w:customStyle="1" w:styleId="CharCharCharCharCharCharChar2">
    <w:name w:val="Char Char Char Char Char Char Char"/>
    <w:basedOn w:val="Normal"/>
    <w:rsid w:val="00447ACB"/>
    <w:pPr>
      <w:spacing w:before="120" w:after="160" w:line="240" w:lineRule="exact"/>
    </w:pPr>
    <w:rPr>
      <w:rFonts w:ascii="Verdana" w:hAnsi="Verdana" w:cs="Arial"/>
      <w:sz w:val="20"/>
      <w:szCs w:val="20"/>
      <w:lang w:val="en-US"/>
    </w:rPr>
  </w:style>
  <w:style w:type="paragraph" w:styleId="NoSpacing">
    <w:name w:val="No Spacing"/>
    <w:link w:val="NoSpacingChar"/>
    <w:uiPriority w:val="1"/>
    <w:qFormat/>
    <w:rsid w:val="005C1E9D"/>
    <w:pPr>
      <w:spacing w:after="0" w:line="240" w:lineRule="auto"/>
    </w:pPr>
    <w:rPr>
      <w:lang w:val="en-GB"/>
    </w:rPr>
  </w:style>
  <w:style w:type="character" w:customStyle="1" w:styleId="NoSpacingChar">
    <w:name w:val="No Spacing Char"/>
    <w:basedOn w:val="DefaultParagraphFont"/>
    <w:link w:val="NoSpacing"/>
    <w:uiPriority w:val="1"/>
    <w:rsid w:val="005C1E9D"/>
    <w:rPr>
      <w:lang w:val="en-GB"/>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452EAF"/>
    <w:rPr>
      <w:rFonts w:ascii="Times New Roman" w:eastAsia="Calibri" w:hAnsi="Times New Roman" w:cs="Times New Roman"/>
      <w:sz w:val="24"/>
      <w:szCs w:val="24"/>
      <w:lang w:val="en-US"/>
    </w:rPr>
  </w:style>
  <w:style w:type="paragraph" w:customStyle="1" w:styleId="Default">
    <w:name w:val="Default"/>
    <w:rsid w:val="00670E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670ED5"/>
    <w:rPr>
      <w:rFonts w:asciiTheme="minorHAnsi" w:eastAsiaTheme="minorHAnsi" w:hAnsiTheme="minorHAnsi" w:cstheme="minorBidi"/>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670ED5"/>
    <w:rPr>
      <w:sz w:val="20"/>
      <w:szCs w:val="20"/>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Ref"/>
    <w:basedOn w:val="DefaultParagraphFont"/>
    <w:link w:val="Char2"/>
    <w:uiPriority w:val="99"/>
    <w:unhideWhenUsed/>
    <w:qFormat/>
    <w:rsid w:val="00670ED5"/>
    <w:rPr>
      <w:vertAlign w:val="superscript"/>
    </w:rPr>
  </w:style>
  <w:style w:type="character" w:styleId="Hyperlink">
    <w:name w:val="Hyperlink"/>
    <w:basedOn w:val="DefaultParagraphFont"/>
    <w:uiPriority w:val="99"/>
    <w:rsid w:val="00670ED5"/>
    <w:rPr>
      <w:color w:val="0000FF"/>
      <w:u w:val="single"/>
    </w:rPr>
  </w:style>
  <w:style w:type="paragraph" w:customStyle="1" w:styleId="Char2">
    <w:name w:val="Char2"/>
    <w:basedOn w:val="Normal"/>
    <w:link w:val="FootnoteReference"/>
    <w:uiPriority w:val="99"/>
    <w:rsid w:val="00670ED5"/>
    <w:pPr>
      <w:spacing w:after="160" w:line="240" w:lineRule="exact"/>
    </w:pPr>
    <w:rPr>
      <w:rFonts w:asciiTheme="minorHAnsi" w:eastAsiaTheme="minorHAnsi" w:hAnsiTheme="minorHAnsi" w:cstheme="minorBidi"/>
      <w:sz w:val="22"/>
      <w:szCs w:val="22"/>
      <w:vertAlign w:val="superscript"/>
      <w:lang w:val="en-AU"/>
    </w:rPr>
  </w:style>
  <w:style w:type="character" w:customStyle="1" w:styleId="Heading1Char">
    <w:name w:val="Heading 1 Char"/>
    <w:basedOn w:val="DefaultParagraphFont"/>
    <w:link w:val="Heading1"/>
    <w:rsid w:val="00670ED5"/>
    <w:rPr>
      <w:rFonts w:asciiTheme="majorHAnsi" w:eastAsiaTheme="majorEastAsia" w:hAnsiTheme="majorHAnsi" w:cstheme="majorBidi"/>
      <w:b/>
      <w:color w:val="00B0F0"/>
      <w:sz w:val="28"/>
      <w:szCs w:val="32"/>
      <w:lang w:val="en-GB"/>
    </w:rPr>
  </w:style>
  <w:style w:type="table" w:styleId="TableGrid">
    <w:name w:val="Table Grid"/>
    <w:basedOn w:val="TableNormal"/>
    <w:uiPriority w:val="39"/>
    <w:rsid w:val="00670E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7897">
      <w:bodyDiv w:val="1"/>
      <w:marLeft w:val="0"/>
      <w:marRight w:val="0"/>
      <w:marTop w:val="0"/>
      <w:marBottom w:val="0"/>
      <w:divBdr>
        <w:top w:val="none" w:sz="0" w:space="0" w:color="auto"/>
        <w:left w:val="none" w:sz="0" w:space="0" w:color="auto"/>
        <w:bottom w:val="none" w:sz="0" w:space="0" w:color="auto"/>
        <w:right w:val="none" w:sz="0" w:space="0" w:color="auto"/>
      </w:divBdr>
      <w:divsChild>
        <w:div w:id="2072800211">
          <w:marLeft w:val="634"/>
          <w:marRight w:val="0"/>
          <w:marTop w:val="0"/>
          <w:marBottom w:val="0"/>
          <w:divBdr>
            <w:top w:val="none" w:sz="0" w:space="0" w:color="auto"/>
            <w:left w:val="none" w:sz="0" w:space="0" w:color="auto"/>
            <w:bottom w:val="none" w:sz="0" w:space="0" w:color="auto"/>
            <w:right w:val="none" w:sz="0" w:space="0" w:color="auto"/>
          </w:divBdr>
        </w:div>
        <w:div w:id="1659066698">
          <w:marLeft w:val="634"/>
          <w:marRight w:val="0"/>
          <w:marTop w:val="0"/>
          <w:marBottom w:val="0"/>
          <w:divBdr>
            <w:top w:val="none" w:sz="0" w:space="0" w:color="auto"/>
            <w:left w:val="none" w:sz="0" w:space="0" w:color="auto"/>
            <w:bottom w:val="none" w:sz="0" w:space="0" w:color="auto"/>
            <w:right w:val="none" w:sz="0" w:space="0" w:color="auto"/>
          </w:divBdr>
        </w:div>
      </w:divsChild>
    </w:div>
    <w:div w:id="284696495">
      <w:bodyDiv w:val="1"/>
      <w:marLeft w:val="0"/>
      <w:marRight w:val="0"/>
      <w:marTop w:val="0"/>
      <w:marBottom w:val="0"/>
      <w:divBdr>
        <w:top w:val="none" w:sz="0" w:space="0" w:color="auto"/>
        <w:left w:val="none" w:sz="0" w:space="0" w:color="auto"/>
        <w:bottom w:val="none" w:sz="0" w:space="0" w:color="auto"/>
        <w:right w:val="none" w:sz="0" w:space="0" w:color="auto"/>
      </w:divBdr>
    </w:div>
    <w:div w:id="513610222">
      <w:bodyDiv w:val="1"/>
      <w:marLeft w:val="0"/>
      <w:marRight w:val="0"/>
      <w:marTop w:val="0"/>
      <w:marBottom w:val="0"/>
      <w:divBdr>
        <w:top w:val="none" w:sz="0" w:space="0" w:color="auto"/>
        <w:left w:val="none" w:sz="0" w:space="0" w:color="auto"/>
        <w:bottom w:val="none" w:sz="0" w:space="0" w:color="auto"/>
        <w:right w:val="none" w:sz="0" w:space="0" w:color="auto"/>
      </w:divBdr>
      <w:divsChild>
        <w:div w:id="2146654916">
          <w:marLeft w:val="0"/>
          <w:marRight w:val="0"/>
          <w:marTop w:val="0"/>
          <w:marBottom w:val="0"/>
          <w:divBdr>
            <w:top w:val="none" w:sz="0" w:space="0" w:color="auto"/>
            <w:left w:val="none" w:sz="0" w:space="0" w:color="auto"/>
            <w:bottom w:val="none" w:sz="0" w:space="0" w:color="auto"/>
            <w:right w:val="none" w:sz="0" w:space="0" w:color="auto"/>
          </w:divBdr>
        </w:div>
        <w:div w:id="731661454">
          <w:marLeft w:val="0"/>
          <w:marRight w:val="0"/>
          <w:marTop w:val="0"/>
          <w:marBottom w:val="0"/>
          <w:divBdr>
            <w:top w:val="none" w:sz="0" w:space="0" w:color="auto"/>
            <w:left w:val="none" w:sz="0" w:space="0" w:color="auto"/>
            <w:bottom w:val="none" w:sz="0" w:space="0" w:color="auto"/>
            <w:right w:val="none" w:sz="0" w:space="0" w:color="auto"/>
          </w:divBdr>
        </w:div>
        <w:div w:id="714426974">
          <w:marLeft w:val="0"/>
          <w:marRight w:val="0"/>
          <w:marTop w:val="0"/>
          <w:marBottom w:val="0"/>
          <w:divBdr>
            <w:top w:val="none" w:sz="0" w:space="0" w:color="auto"/>
            <w:left w:val="none" w:sz="0" w:space="0" w:color="auto"/>
            <w:bottom w:val="none" w:sz="0" w:space="0" w:color="auto"/>
            <w:right w:val="none" w:sz="0" w:space="0" w:color="auto"/>
          </w:divBdr>
        </w:div>
      </w:divsChild>
    </w:div>
    <w:div w:id="916670733">
      <w:bodyDiv w:val="1"/>
      <w:marLeft w:val="0"/>
      <w:marRight w:val="0"/>
      <w:marTop w:val="0"/>
      <w:marBottom w:val="0"/>
      <w:divBdr>
        <w:top w:val="none" w:sz="0" w:space="0" w:color="auto"/>
        <w:left w:val="none" w:sz="0" w:space="0" w:color="auto"/>
        <w:bottom w:val="none" w:sz="0" w:space="0" w:color="auto"/>
        <w:right w:val="none" w:sz="0" w:space="0" w:color="auto"/>
      </w:divBdr>
      <w:divsChild>
        <w:div w:id="1069231693">
          <w:marLeft w:val="0"/>
          <w:marRight w:val="0"/>
          <w:marTop w:val="0"/>
          <w:marBottom w:val="0"/>
          <w:divBdr>
            <w:top w:val="none" w:sz="0" w:space="0" w:color="auto"/>
            <w:left w:val="none" w:sz="0" w:space="0" w:color="auto"/>
            <w:bottom w:val="none" w:sz="0" w:space="0" w:color="auto"/>
            <w:right w:val="none" w:sz="0" w:space="0" w:color="auto"/>
          </w:divBdr>
        </w:div>
        <w:div w:id="1501848099">
          <w:marLeft w:val="0"/>
          <w:marRight w:val="0"/>
          <w:marTop w:val="0"/>
          <w:marBottom w:val="0"/>
          <w:divBdr>
            <w:top w:val="none" w:sz="0" w:space="0" w:color="auto"/>
            <w:left w:val="none" w:sz="0" w:space="0" w:color="auto"/>
            <w:bottom w:val="none" w:sz="0" w:space="0" w:color="auto"/>
            <w:right w:val="none" w:sz="0" w:space="0" w:color="auto"/>
          </w:divBdr>
        </w:div>
        <w:div w:id="2071806235">
          <w:marLeft w:val="0"/>
          <w:marRight w:val="0"/>
          <w:marTop w:val="0"/>
          <w:marBottom w:val="0"/>
          <w:divBdr>
            <w:top w:val="none" w:sz="0" w:space="0" w:color="auto"/>
            <w:left w:val="none" w:sz="0" w:space="0" w:color="auto"/>
            <w:bottom w:val="none" w:sz="0" w:space="0" w:color="auto"/>
            <w:right w:val="none" w:sz="0" w:space="0" w:color="auto"/>
          </w:divBdr>
        </w:div>
        <w:div w:id="904680051">
          <w:marLeft w:val="0"/>
          <w:marRight w:val="0"/>
          <w:marTop w:val="0"/>
          <w:marBottom w:val="0"/>
          <w:divBdr>
            <w:top w:val="none" w:sz="0" w:space="0" w:color="auto"/>
            <w:left w:val="none" w:sz="0" w:space="0" w:color="auto"/>
            <w:bottom w:val="none" w:sz="0" w:space="0" w:color="auto"/>
            <w:right w:val="none" w:sz="0" w:space="0" w:color="auto"/>
          </w:divBdr>
        </w:div>
        <w:div w:id="778841600">
          <w:marLeft w:val="0"/>
          <w:marRight w:val="0"/>
          <w:marTop w:val="0"/>
          <w:marBottom w:val="0"/>
          <w:divBdr>
            <w:top w:val="none" w:sz="0" w:space="0" w:color="auto"/>
            <w:left w:val="none" w:sz="0" w:space="0" w:color="auto"/>
            <w:bottom w:val="none" w:sz="0" w:space="0" w:color="auto"/>
            <w:right w:val="none" w:sz="0" w:space="0" w:color="auto"/>
          </w:divBdr>
        </w:div>
        <w:div w:id="1580098083">
          <w:marLeft w:val="0"/>
          <w:marRight w:val="0"/>
          <w:marTop w:val="0"/>
          <w:marBottom w:val="0"/>
          <w:divBdr>
            <w:top w:val="none" w:sz="0" w:space="0" w:color="auto"/>
            <w:left w:val="none" w:sz="0" w:space="0" w:color="auto"/>
            <w:bottom w:val="none" w:sz="0" w:space="0" w:color="auto"/>
            <w:right w:val="none" w:sz="0" w:space="0" w:color="auto"/>
          </w:divBdr>
        </w:div>
        <w:div w:id="1830366912">
          <w:marLeft w:val="0"/>
          <w:marRight w:val="0"/>
          <w:marTop w:val="0"/>
          <w:marBottom w:val="0"/>
          <w:divBdr>
            <w:top w:val="none" w:sz="0" w:space="0" w:color="auto"/>
            <w:left w:val="none" w:sz="0" w:space="0" w:color="auto"/>
            <w:bottom w:val="none" w:sz="0" w:space="0" w:color="auto"/>
            <w:right w:val="none" w:sz="0" w:space="0" w:color="auto"/>
          </w:divBdr>
        </w:div>
        <w:div w:id="35331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415A-5072-4851-8B2A-EE2AC033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2376</Words>
  <Characters>13545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Ilya IKONNIKOV</dc:creator>
  <cp:keywords>HSTF</cp:keywords>
  <cp:lastModifiedBy>Ogulgerek Annayeva</cp:lastModifiedBy>
  <cp:revision>2</cp:revision>
  <cp:lastPrinted>2023-01-23T07:45:00Z</cp:lastPrinted>
  <dcterms:created xsi:type="dcterms:W3CDTF">2023-01-23T10:48:00Z</dcterms:created>
  <dcterms:modified xsi:type="dcterms:W3CDTF">2023-01-23T10:48:00Z</dcterms:modified>
</cp:coreProperties>
</file>